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1B7C5D">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1B7C5D">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55703">
            <w:pPr>
              <w:rPr>
                <w:rFonts w:ascii="Arial" w:hAnsi="Arial"/>
              </w:rPr>
            </w:pPr>
            <w:r w:rsidRPr="00B55703">
              <w:rPr>
                <w:rFonts w:ascii="Arial" w:hAnsi="Arial"/>
              </w:rPr>
              <w:t>Social Service Work with the Elderly</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B55703">
            <w:pPr>
              <w:rPr>
                <w:rFonts w:ascii="Arial" w:hAnsi="Arial"/>
              </w:rPr>
            </w:pPr>
            <w:r w:rsidRPr="00B55703">
              <w:rPr>
                <w:rFonts w:ascii="Arial" w:hAnsi="Arial"/>
              </w:rPr>
              <w:t>SSW 201</w:t>
            </w:r>
          </w:p>
          <w:p w:rsidR="00B55703" w:rsidRDefault="00B55703">
            <w:pPr>
              <w:rPr>
                <w:rFonts w:ascii="Arial" w:hAnsi="Arial"/>
              </w:rPr>
            </w:pPr>
            <w:r>
              <w:rPr>
                <w:rFonts w:ascii="Arial" w:hAnsi="Arial"/>
              </w:rPr>
              <w:t>SSW0201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55703" w:rsidP="00B56820">
            <w:pPr>
              <w:rPr>
                <w:rFonts w:ascii="Arial" w:hAnsi="Arial"/>
              </w:rPr>
            </w:pPr>
            <w:r w:rsidRPr="00B55703">
              <w:rPr>
                <w:rFonts w:ascii="Arial" w:hAnsi="Arial"/>
              </w:rPr>
              <w:t>Social Services Worker</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Pr="00B55703" w:rsidRDefault="00B55703">
            <w:pPr>
              <w:rPr>
                <w:rFonts w:ascii="Arial" w:hAnsi="Arial"/>
                <w:lang w:val="en-CA"/>
              </w:rPr>
            </w:pPr>
            <w:r w:rsidRPr="00B55703">
              <w:rPr>
                <w:rFonts w:ascii="Arial" w:hAnsi="Arial"/>
                <w:lang w:val="en-CA"/>
              </w:rPr>
              <w:t xml:space="preserve">Judi Gough, </w:t>
            </w:r>
            <w:proofErr w:type="spellStart"/>
            <w:r w:rsidRPr="00B55703">
              <w:rPr>
                <w:rFonts w:ascii="Arial" w:hAnsi="Arial"/>
                <w:lang w:val="en-CA"/>
              </w:rPr>
              <w:t>MSW</w:t>
            </w:r>
            <w:proofErr w:type="spellEnd"/>
            <w:r w:rsidRPr="00B55703">
              <w:rPr>
                <w:rFonts w:ascii="Arial" w:hAnsi="Arial"/>
                <w:lang w:val="en-CA"/>
              </w:rPr>
              <w:t xml:space="preserve">, </w:t>
            </w:r>
            <w:proofErr w:type="spellStart"/>
            <w:r w:rsidRPr="00B55703">
              <w:rPr>
                <w:rFonts w:ascii="Arial" w:hAnsi="Arial"/>
                <w:lang w:val="en-CA"/>
              </w:rPr>
              <w:t>RSW</w:t>
            </w:r>
            <w:proofErr w:type="spellEnd"/>
          </w:p>
          <w:p w:rsidR="00921A53" w:rsidRDefault="00B55703">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B55703" w:rsidP="00B56820">
            <w:pPr>
              <w:rPr>
                <w:rFonts w:ascii="Arial" w:hAnsi="Arial"/>
              </w:rPr>
            </w:pPr>
            <w:r w:rsidRPr="00B55703">
              <w:rPr>
                <w:rFonts w:ascii="Arial" w:hAnsi="Arial"/>
              </w:rPr>
              <w:t>Jan/09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B55703" w:rsidP="00B56820">
            <w:pPr>
              <w:rPr>
                <w:rFonts w:ascii="Arial" w:hAnsi="Arial"/>
              </w:rPr>
            </w:pPr>
            <w:r w:rsidRPr="00B55703">
              <w:rPr>
                <w:rFonts w:ascii="Arial" w:hAnsi="Arial"/>
              </w:rPr>
              <w:t>Jan/08</w:t>
            </w:r>
          </w:p>
        </w:tc>
      </w:tr>
      <w:tr w:rsidR="00334D69" w:rsidTr="001B7C5D">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6A7955">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1B7C5D">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55703">
            <w:pPr>
              <w:rPr>
                <w:rFonts w:ascii="Arial" w:hAnsi="Arial"/>
              </w:rPr>
            </w:pPr>
            <w:r w:rsidRPr="00B55703">
              <w:rPr>
                <w:rFonts w:ascii="Arial" w:hAnsi="Arial"/>
              </w:rPr>
              <w:t>3</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55703">
            <w:pPr>
              <w:rPr>
                <w:rFonts w:ascii="Arial" w:hAnsi="Arial"/>
              </w:rPr>
            </w:pPr>
            <w:r w:rsidRPr="00B55703">
              <w:rPr>
                <w:rFonts w:ascii="Arial" w:hAnsi="Arial"/>
              </w:rPr>
              <w:t>SSW105</w:t>
            </w:r>
            <w:r>
              <w:rPr>
                <w:rFonts w:ascii="Arial" w:hAnsi="Arial"/>
              </w:rPr>
              <w:t>/SSW0105</w:t>
            </w:r>
          </w:p>
        </w:tc>
      </w:tr>
      <w:tr w:rsidR="00334D69" w:rsidTr="001B7C5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55703">
            <w:pPr>
              <w:rPr>
                <w:rFonts w:ascii="Arial" w:hAnsi="Arial"/>
              </w:rPr>
            </w:pPr>
            <w:r w:rsidRPr="00B55703">
              <w:rPr>
                <w:rFonts w:ascii="Arial" w:hAnsi="Arial"/>
              </w:rPr>
              <w:t>3</w:t>
            </w:r>
          </w:p>
        </w:tc>
      </w:tr>
      <w:tr w:rsidR="006F13F4" w:rsidTr="001B7C5D">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1B7C5D">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1B7C5D">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1B7C5D">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B55703" w:rsidRPr="00B55703" w:rsidRDefault="00E87629" w:rsidP="00B55703">
      <w:pPr>
        <w:pStyle w:val="EnvelopeReturn"/>
        <w:rPr>
          <w:sz w:val="20"/>
          <w:lang w:val="en-CA"/>
        </w:rPr>
      </w:pPr>
      <w:r>
        <w:rPr>
          <w:lang w:val="en-GB"/>
        </w:rPr>
        <w:br w:type="page"/>
      </w:r>
      <w:r w:rsidR="00B55703" w:rsidRPr="00B55703">
        <w:rPr>
          <w:sz w:val="20"/>
          <w:lang w:val="en-CA"/>
        </w:rPr>
        <w:lastRenderedPageBreak/>
        <w:t xml:space="preserve">Faculty Contact Information:  Judi Gough, 759-2554, extension 2589, judi.gough@saultcollege.ca </w:t>
      </w:r>
    </w:p>
    <w:p w:rsidR="00B55703" w:rsidRPr="00B55703" w:rsidRDefault="00B55703" w:rsidP="00B55703">
      <w:pPr>
        <w:pStyle w:val="EnvelopeReturn"/>
        <w:rPr>
          <w:b/>
          <w:bCs/>
          <w:lang w:val="en-CA"/>
        </w:rPr>
      </w:pPr>
    </w:p>
    <w:p w:rsidR="00B55703" w:rsidRPr="00B55703" w:rsidRDefault="00B55703" w:rsidP="00B55703">
      <w:pPr>
        <w:pStyle w:val="EnvelopeReturn"/>
        <w:rPr>
          <w:b/>
          <w:bCs/>
          <w:lang w:val="en-CA"/>
        </w:rPr>
      </w:pPr>
      <w:r w:rsidRPr="00B55703">
        <w:rPr>
          <w:b/>
          <w:bCs/>
          <w:lang w:val="en-CA"/>
        </w:rPr>
        <w:t>I.</w:t>
      </w:r>
      <w:r w:rsidRPr="00B55703">
        <w:rPr>
          <w:b/>
          <w:bCs/>
          <w:lang w:val="en-CA"/>
        </w:rPr>
        <w:tab/>
        <w:t>COURSE DESCRIPTION:</w:t>
      </w:r>
    </w:p>
    <w:p w:rsidR="00B55703" w:rsidRPr="00B55703" w:rsidRDefault="00B55703" w:rsidP="00B55703">
      <w:pPr>
        <w:pStyle w:val="EnvelopeReturn"/>
      </w:pPr>
    </w:p>
    <w:p w:rsidR="00B55703" w:rsidRPr="00B55703" w:rsidRDefault="00B55703" w:rsidP="00B55703">
      <w:pPr>
        <w:pStyle w:val="EnvelopeReturn"/>
        <w:rPr>
          <w:lang w:val="en-CA"/>
        </w:rPr>
      </w:pPr>
      <w:r w:rsidRPr="00B55703">
        <w:rPr>
          <w:lang w:val="en-CA"/>
        </w:rPr>
        <w:t>Social Service Workers (</w:t>
      </w:r>
      <w:proofErr w:type="spellStart"/>
      <w:r w:rsidRPr="00B55703">
        <w:rPr>
          <w:lang w:val="en-CA"/>
        </w:rPr>
        <w:t>SSW’s</w:t>
      </w:r>
      <w:proofErr w:type="spellEnd"/>
      <w:r w:rsidRPr="00B55703">
        <w:rPr>
          <w:lang w:val="en-CA"/>
        </w:rPr>
        <w:t xml:space="preserve">) promote the well-being, health and social inclusion of older adults, in particular the vulnerable older adults. </w:t>
      </w:r>
      <w:proofErr w:type="spellStart"/>
      <w:r w:rsidRPr="00B55703">
        <w:rPr>
          <w:lang w:val="en-CA"/>
        </w:rPr>
        <w:t>SSW’s</w:t>
      </w:r>
      <w:proofErr w:type="spellEnd"/>
      <w:r w:rsidRPr="00B55703">
        <w:rPr>
          <w:lang w:val="en-CA"/>
        </w:rPr>
        <w:t xml:space="preserve"> support, facilitate and encourage the development and provision of effective policies, programs and services that help the older adults to meet basic needs, improve quality of life, and increase their capacity to contribute to, and reside within, the community. </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proofErr w:type="spellStart"/>
      <w:r w:rsidRPr="00B55703">
        <w:rPr>
          <w:lang w:val="en-CA"/>
        </w:rPr>
        <w:t>CICE</w:t>
      </w:r>
      <w:proofErr w:type="spellEnd"/>
      <w:r w:rsidRPr="00B55703">
        <w:rPr>
          <w:lang w:val="en-CA"/>
        </w:rPr>
        <w:t xml:space="preserve"> students are introduced to </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9"/>
        </w:numPr>
        <w:rPr>
          <w:lang w:val="en-CA"/>
        </w:rPr>
      </w:pPr>
      <w:r w:rsidRPr="00B55703">
        <w:rPr>
          <w:lang w:val="en-CA"/>
        </w:rPr>
        <w:t>the context of social service work with the older adult population</w:t>
      </w:r>
    </w:p>
    <w:p w:rsidR="00B55703" w:rsidRPr="00B55703" w:rsidRDefault="00B55703" w:rsidP="00EC1D2A">
      <w:pPr>
        <w:pStyle w:val="EnvelopeReturn"/>
        <w:numPr>
          <w:ilvl w:val="0"/>
          <w:numId w:val="9"/>
        </w:numPr>
        <w:rPr>
          <w:lang w:val="en-CA"/>
        </w:rPr>
      </w:pPr>
      <w:proofErr w:type="spellStart"/>
      <w:r w:rsidRPr="00B55703">
        <w:rPr>
          <w:lang w:val="en-CA"/>
        </w:rPr>
        <w:t>biopsychosocial</w:t>
      </w:r>
      <w:proofErr w:type="spellEnd"/>
      <w:r w:rsidRPr="00B55703">
        <w:rPr>
          <w:lang w:val="en-CA"/>
        </w:rPr>
        <w:t xml:space="preserve"> model of understanding and adapting to aging</w:t>
      </w:r>
    </w:p>
    <w:p w:rsidR="00B55703" w:rsidRPr="00B55703" w:rsidRDefault="00B55703" w:rsidP="00EC1D2A">
      <w:pPr>
        <w:pStyle w:val="EnvelopeReturn"/>
        <w:numPr>
          <w:ilvl w:val="0"/>
          <w:numId w:val="9"/>
        </w:numPr>
        <w:rPr>
          <w:lang w:val="en-CA"/>
        </w:rPr>
      </w:pPr>
      <w:proofErr w:type="spellStart"/>
      <w:r w:rsidRPr="00B55703">
        <w:rPr>
          <w:lang w:val="en-CA"/>
        </w:rPr>
        <w:t>biopsychosocial</w:t>
      </w:r>
      <w:proofErr w:type="spellEnd"/>
      <w:r w:rsidRPr="00B55703">
        <w:rPr>
          <w:lang w:val="en-CA"/>
        </w:rPr>
        <w:t xml:space="preserve"> assessment of an older adult</w:t>
      </w:r>
    </w:p>
    <w:p w:rsidR="00B55703" w:rsidRPr="00B55703" w:rsidRDefault="00B55703" w:rsidP="00EC1D2A">
      <w:pPr>
        <w:pStyle w:val="EnvelopeReturn"/>
        <w:numPr>
          <w:ilvl w:val="0"/>
          <w:numId w:val="9"/>
        </w:numPr>
        <w:rPr>
          <w:lang w:val="en-CA"/>
        </w:rPr>
      </w:pPr>
      <w:r w:rsidRPr="00B55703">
        <w:rPr>
          <w:lang w:val="en-CA"/>
        </w:rPr>
        <w:t>social service interventions with the older adult population</w:t>
      </w:r>
    </w:p>
    <w:p w:rsidR="00B55703" w:rsidRPr="00B55703" w:rsidRDefault="00B55703" w:rsidP="00EC1D2A">
      <w:pPr>
        <w:pStyle w:val="EnvelopeReturn"/>
        <w:numPr>
          <w:ilvl w:val="0"/>
          <w:numId w:val="9"/>
        </w:numPr>
        <w:rPr>
          <w:lang w:val="en-CA"/>
        </w:rPr>
      </w:pPr>
      <w:r w:rsidRPr="00B55703">
        <w:rPr>
          <w:lang w:val="en-CA"/>
        </w:rPr>
        <w:t>social issues that interfere with the quality of life in the older adult population (gambling, substance abuse, mental health disorders, elder abuse, homelessness)</w:t>
      </w:r>
    </w:p>
    <w:p w:rsidR="00B55703" w:rsidRPr="00B55703" w:rsidRDefault="00B55703" w:rsidP="00EC1D2A">
      <w:pPr>
        <w:pStyle w:val="EnvelopeReturn"/>
        <w:numPr>
          <w:ilvl w:val="0"/>
          <w:numId w:val="9"/>
        </w:numPr>
        <w:rPr>
          <w:lang w:val="en-CA"/>
        </w:rPr>
      </w:pPr>
      <w:r w:rsidRPr="00B55703">
        <w:rPr>
          <w:lang w:val="en-CA"/>
        </w:rPr>
        <w:t>social service interventions that support caregivers of vulnerable older adults</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Social work knowledge and skills related to assessment, planning, and implementing interventions with this population are emphasized. A strengths-based perspective is integrated throughout the course. </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p>
    <w:p w:rsidR="00B55703" w:rsidRPr="00B55703" w:rsidRDefault="00B55703" w:rsidP="00B55703">
      <w:pPr>
        <w:pStyle w:val="EnvelopeReturn"/>
        <w:rPr>
          <w:b/>
          <w:bCs/>
          <w:lang w:val="en-CA"/>
        </w:rPr>
      </w:pPr>
      <w:r w:rsidRPr="00B55703">
        <w:rPr>
          <w:b/>
          <w:bCs/>
          <w:lang w:val="en-CA"/>
        </w:rPr>
        <w:t>II.</w:t>
      </w:r>
      <w:r w:rsidRPr="00B55703">
        <w:rPr>
          <w:b/>
          <w:bCs/>
          <w:lang w:val="en-CA"/>
        </w:rPr>
        <w:tab/>
        <w:t>LEARNING OUTCOMES AND ELEMENTS OF PERFORMANCE:</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Upon successful completion of this course, the </w:t>
      </w:r>
      <w:proofErr w:type="spellStart"/>
      <w:r w:rsidRPr="00B55703">
        <w:rPr>
          <w:lang w:val="en-CA"/>
        </w:rPr>
        <w:t>CICE</w:t>
      </w:r>
      <w:proofErr w:type="spellEnd"/>
      <w:r w:rsidRPr="00B55703">
        <w:rPr>
          <w:lang w:val="en-CA"/>
        </w:rPr>
        <w:t xml:space="preserve"> student, with the assistance of a Learning Specialist, will demonstrate the basic ability to </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0"/>
        </w:numPr>
        <w:tabs>
          <w:tab w:val="clear" w:pos="1440"/>
        </w:tabs>
        <w:ind w:left="720" w:hanging="360"/>
        <w:rPr>
          <w:lang w:val="en-CA"/>
        </w:rPr>
      </w:pPr>
      <w:r w:rsidRPr="00B55703">
        <w:rPr>
          <w:lang w:val="en-CA"/>
        </w:rPr>
        <w:t xml:space="preserve">Demonstrate understanding of the social and economic aspects of aging in </w:t>
      </w:r>
      <w:smartTag w:uri="urn:schemas-microsoft-com:office:smarttags" w:element="place">
        <w:smartTag w:uri="urn:schemas-microsoft-com:office:smarttags" w:element="country-region">
          <w:r w:rsidRPr="00B55703">
            <w:rPr>
              <w:lang w:val="en-CA"/>
            </w:rPr>
            <w:t>Canada</w:t>
          </w:r>
        </w:smartTag>
      </w:smartTag>
      <w:r w:rsidRPr="00B55703">
        <w:rPr>
          <w:lang w:val="en-CA"/>
        </w:rPr>
        <w:t>.</w:t>
      </w:r>
    </w:p>
    <w:p w:rsidR="00B55703" w:rsidRPr="00B55703" w:rsidRDefault="00B55703" w:rsidP="00B55703">
      <w:pPr>
        <w:pStyle w:val="EnvelopeReturn"/>
        <w:rPr>
          <w:lang w:val="en-CA"/>
        </w:rPr>
      </w:pPr>
    </w:p>
    <w:p w:rsidR="00B55703" w:rsidRPr="00B55703" w:rsidRDefault="00E1305C" w:rsidP="00B55703">
      <w:pPr>
        <w:pStyle w:val="EnvelopeReturn"/>
        <w:rPr>
          <w:b/>
          <w:bCs/>
          <w:i/>
          <w:iCs/>
          <w:lang w:val="en-CA"/>
        </w:rPr>
      </w:pPr>
      <w:r>
        <w:rPr>
          <w:lang w:val="en-CA"/>
        </w:rPr>
        <w:tab/>
      </w:r>
      <w:r w:rsidR="00B55703" w:rsidRPr="00B55703">
        <w:rPr>
          <w:b/>
          <w:bCs/>
          <w:i/>
          <w:iCs/>
          <w:lang w:val="en-CA"/>
        </w:rPr>
        <w:t xml:space="preserve">Potential Elements of Performance: </w:t>
      </w:r>
    </w:p>
    <w:p w:rsidR="00B55703" w:rsidRPr="00B55703" w:rsidRDefault="00B55703" w:rsidP="00B55703">
      <w:pPr>
        <w:pStyle w:val="EnvelopeReturn"/>
        <w:rPr>
          <w:b/>
          <w:bCs/>
          <w:i/>
          <w:iCs/>
          <w:lang w:val="en-CA"/>
        </w:rPr>
      </w:pPr>
    </w:p>
    <w:p w:rsidR="00B55703" w:rsidRPr="00B55703" w:rsidRDefault="00B55703" w:rsidP="00EC1D2A">
      <w:pPr>
        <w:pStyle w:val="EnvelopeReturn"/>
        <w:numPr>
          <w:ilvl w:val="1"/>
          <w:numId w:val="10"/>
        </w:numPr>
        <w:rPr>
          <w:lang w:val="en-CA"/>
        </w:rPr>
      </w:pPr>
      <w:r w:rsidRPr="00B55703">
        <w:rPr>
          <w:lang w:val="en-CA"/>
        </w:rPr>
        <w:t xml:space="preserve">Identify key income support programs for older adults. </w:t>
      </w:r>
    </w:p>
    <w:p w:rsidR="00B55703" w:rsidRPr="00B55703" w:rsidRDefault="00B55703" w:rsidP="00EC1D2A">
      <w:pPr>
        <w:pStyle w:val="EnvelopeReturn"/>
        <w:numPr>
          <w:ilvl w:val="1"/>
          <w:numId w:val="10"/>
        </w:numPr>
        <w:rPr>
          <w:lang w:val="en-CA"/>
        </w:rPr>
      </w:pPr>
      <w:r w:rsidRPr="00B55703">
        <w:rPr>
          <w:lang w:val="en-CA"/>
        </w:rPr>
        <w:t>Identify primary information sources in the Canadian government in relation to policies and social programs that impact the older adult population.</w:t>
      </w:r>
    </w:p>
    <w:p w:rsidR="00B55703" w:rsidRPr="00B55703" w:rsidRDefault="00B55703" w:rsidP="00EC1D2A">
      <w:pPr>
        <w:pStyle w:val="EnvelopeReturn"/>
        <w:numPr>
          <w:ilvl w:val="1"/>
          <w:numId w:val="10"/>
        </w:numPr>
        <w:rPr>
          <w:lang w:val="en-CA"/>
        </w:rPr>
      </w:pPr>
      <w:r w:rsidRPr="00B55703">
        <w:rPr>
          <w:lang w:val="en-CA"/>
        </w:rPr>
        <w:t xml:space="preserve">Demonstrate a beginning understanding of the diversity among the older adults population in </w:t>
      </w:r>
      <w:smartTag w:uri="urn:schemas-microsoft-com:office:smarttags" w:element="place">
        <w:smartTag w:uri="urn:schemas-microsoft-com:office:smarttags" w:element="country-region">
          <w:r w:rsidRPr="00B55703">
            <w:rPr>
              <w:lang w:val="en-CA"/>
            </w:rPr>
            <w:t>Canada</w:t>
          </w:r>
        </w:smartTag>
      </w:smartTag>
      <w:r w:rsidRPr="00B55703">
        <w:rPr>
          <w:lang w:val="en-CA"/>
        </w:rPr>
        <w:t>.</w:t>
      </w:r>
    </w:p>
    <w:p w:rsidR="00B55703" w:rsidRDefault="00B55703" w:rsidP="00EC1D2A">
      <w:pPr>
        <w:pStyle w:val="EnvelopeReturn"/>
        <w:numPr>
          <w:ilvl w:val="1"/>
          <w:numId w:val="10"/>
        </w:numPr>
        <w:rPr>
          <w:lang w:val="en-CA"/>
        </w:rPr>
      </w:pPr>
      <w:r w:rsidRPr="00B55703">
        <w:rPr>
          <w:lang w:val="en-CA"/>
        </w:rPr>
        <w:t>Demonstrate knowledge regarding the demographics of the older adult population in Ontario/Canada.</w:t>
      </w:r>
    </w:p>
    <w:p w:rsidR="004033A9" w:rsidRDefault="004033A9" w:rsidP="004033A9">
      <w:pPr>
        <w:pStyle w:val="EnvelopeReturn"/>
        <w:rPr>
          <w:lang w:val="en-CA"/>
        </w:rPr>
      </w:pPr>
    </w:p>
    <w:p w:rsidR="004033A9" w:rsidRDefault="004033A9" w:rsidP="004033A9">
      <w:pPr>
        <w:pStyle w:val="EnvelopeReturn"/>
        <w:rPr>
          <w:lang w:val="en-CA"/>
        </w:rPr>
      </w:pPr>
    </w:p>
    <w:p w:rsidR="004033A9" w:rsidRDefault="004033A9" w:rsidP="004033A9">
      <w:pPr>
        <w:pStyle w:val="EnvelopeReturn"/>
        <w:rPr>
          <w:lang w:val="en-CA"/>
        </w:rPr>
      </w:pPr>
    </w:p>
    <w:p w:rsidR="004033A9" w:rsidRDefault="004033A9" w:rsidP="004033A9">
      <w:pPr>
        <w:pStyle w:val="EnvelopeReturn"/>
        <w:rPr>
          <w:lang w:val="en-CA"/>
        </w:rPr>
      </w:pPr>
    </w:p>
    <w:p w:rsidR="004033A9" w:rsidRPr="00B55703" w:rsidRDefault="004033A9" w:rsidP="004033A9">
      <w:pPr>
        <w:pStyle w:val="EnvelopeReturn"/>
        <w:rPr>
          <w:lang w:val="en-CA"/>
        </w:rPr>
      </w:pPr>
    </w:p>
    <w:p w:rsidR="00B55703" w:rsidRPr="00B55703" w:rsidRDefault="00B55703" w:rsidP="00EC1D2A">
      <w:pPr>
        <w:pStyle w:val="EnvelopeReturn"/>
        <w:numPr>
          <w:ilvl w:val="1"/>
          <w:numId w:val="10"/>
        </w:numPr>
        <w:rPr>
          <w:lang w:val="en-CA"/>
        </w:rPr>
      </w:pPr>
      <w:r w:rsidRPr="00B55703">
        <w:rPr>
          <w:lang w:val="en-CA"/>
        </w:rPr>
        <w:t>Identify and demonstrate an understanding of the factors that influence the quality of life for Canadian elders and their families (family support systems, work, retirement, finances, leisure, housing, health, loss, and end of life experiences)</w:t>
      </w:r>
    </w:p>
    <w:p w:rsidR="00B55703" w:rsidRPr="00B55703" w:rsidRDefault="00B55703" w:rsidP="00EC1D2A">
      <w:pPr>
        <w:pStyle w:val="EnvelopeReturn"/>
        <w:numPr>
          <w:ilvl w:val="1"/>
          <w:numId w:val="10"/>
        </w:numPr>
        <w:rPr>
          <w:lang w:val="en-CA"/>
        </w:rPr>
      </w:pPr>
      <w:r w:rsidRPr="00B55703">
        <w:rPr>
          <w:lang w:val="en-CA"/>
        </w:rPr>
        <w:t xml:space="preserve">Demonstrate knowledge of the community based and long-term care facilities in </w:t>
      </w:r>
      <w:smartTag w:uri="urn:schemas-microsoft-com:office:smarttags" w:element="PersonName">
        <w:r w:rsidRPr="00B55703">
          <w:rPr>
            <w:lang w:val="en-CA"/>
          </w:rPr>
          <w:t xml:space="preserve">Sault Ste. </w:t>
        </w:r>
        <w:smartTag w:uri="urn:schemas:contacts" w:element="Sn">
          <w:r w:rsidRPr="00B55703">
            <w:rPr>
              <w:lang w:val="en-CA"/>
            </w:rPr>
            <w:t>Marie</w:t>
          </w:r>
        </w:smartTag>
      </w:smartTag>
      <w:r w:rsidRPr="00B55703">
        <w:rPr>
          <w:lang w:val="en-CA"/>
        </w:rPr>
        <w:t xml:space="preserve"> and Algoma District.</w:t>
      </w:r>
    </w:p>
    <w:p w:rsidR="00B55703" w:rsidRDefault="00B55703" w:rsidP="00B55703">
      <w:pPr>
        <w:pStyle w:val="EnvelopeReturn"/>
        <w:rPr>
          <w:lang w:val="en-CA"/>
        </w:rPr>
      </w:pPr>
    </w:p>
    <w:p w:rsidR="00B55703" w:rsidRPr="00B55703" w:rsidRDefault="00B55703" w:rsidP="00EC1D2A">
      <w:pPr>
        <w:pStyle w:val="EnvelopeReturn"/>
        <w:numPr>
          <w:ilvl w:val="0"/>
          <w:numId w:val="21"/>
        </w:numPr>
        <w:rPr>
          <w:lang w:val="en-CA"/>
        </w:rPr>
      </w:pPr>
      <w:r w:rsidRPr="00B55703">
        <w:rPr>
          <w:lang w:val="en-CA"/>
        </w:rPr>
        <w:t xml:space="preserve">Demonstrate understanding of the </w:t>
      </w:r>
      <w:proofErr w:type="spellStart"/>
      <w:r w:rsidRPr="00B55703">
        <w:rPr>
          <w:lang w:val="en-CA"/>
        </w:rPr>
        <w:t>biopsychosocial</w:t>
      </w:r>
      <w:proofErr w:type="spellEnd"/>
      <w:r w:rsidRPr="00B55703">
        <w:rPr>
          <w:lang w:val="en-CA"/>
        </w:rPr>
        <w:t xml:space="preserve"> aspects of aging.</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ab/>
      </w:r>
      <w:r w:rsidRPr="00B55703">
        <w:rPr>
          <w:b/>
          <w:bCs/>
          <w:i/>
          <w:iCs/>
          <w:lang w:val="en-CA"/>
        </w:rPr>
        <w:t>Potential Elements of Performance:</w:t>
      </w:r>
    </w:p>
    <w:p w:rsidR="00B55703" w:rsidRPr="00B55703" w:rsidRDefault="00B55703" w:rsidP="00EC1D2A">
      <w:pPr>
        <w:pStyle w:val="EnvelopeReturn"/>
        <w:numPr>
          <w:ilvl w:val="0"/>
          <w:numId w:val="11"/>
        </w:numPr>
        <w:rPr>
          <w:lang w:val="en-CA"/>
        </w:rPr>
      </w:pPr>
      <w:r w:rsidRPr="00B55703">
        <w:rPr>
          <w:lang w:val="en-CA"/>
        </w:rPr>
        <w:t>Demonstrate beginning knowledge of biological changes that accompany aging.</w:t>
      </w:r>
    </w:p>
    <w:p w:rsidR="00B55703" w:rsidRPr="00B55703" w:rsidRDefault="00B55703" w:rsidP="00EC1D2A">
      <w:pPr>
        <w:pStyle w:val="EnvelopeReturn"/>
        <w:numPr>
          <w:ilvl w:val="0"/>
          <w:numId w:val="11"/>
        </w:numPr>
        <w:rPr>
          <w:lang w:val="en-CA"/>
        </w:rPr>
      </w:pPr>
      <w:r w:rsidRPr="00B55703">
        <w:rPr>
          <w:lang w:val="en-CA"/>
        </w:rPr>
        <w:t>Demonstrate understanding of the implication of aging processes on the well-being and needs of aging persons.</w:t>
      </w:r>
    </w:p>
    <w:p w:rsidR="00B55703" w:rsidRPr="00B55703" w:rsidRDefault="00B55703" w:rsidP="00EC1D2A">
      <w:pPr>
        <w:pStyle w:val="EnvelopeReturn"/>
        <w:numPr>
          <w:ilvl w:val="0"/>
          <w:numId w:val="11"/>
        </w:numPr>
        <w:rPr>
          <w:lang w:val="en-CA"/>
        </w:rPr>
      </w:pPr>
      <w:r w:rsidRPr="00B55703">
        <w:rPr>
          <w:lang w:val="en-CA"/>
        </w:rPr>
        <w:t>Demonstrate understanding of the psychosocial changes that accompany aging.</w:t>
      </w:r>
    </w:p>
    <w:p w:rsidR="00B55703" w:rsidRPr="00B55703" w:rsidRDefault="00B55703" w:rsidP="00EC1D2A">
      <w:pPr>
        <w:pStyle w:val="EnvelopeReturn"/>
        <w:numPr>
          <w:ilvl w:val="0"/>
          <w:numId w:val="11"/>
        </w:numPr>
        <w:rPr>
          <w:lang w:val="en-CA"/>
        </w:rPr>
      </w:pPr>
      <w:r w:rsidRPr="00B55703">
        <w:rPr>
          <w:lang w:val="en-CA"/>
        </w:rPr>
        <w:t>Demonstrate understanding of the social theories of aging.</w:t>
      </w:r>
    </w:p>
    <w:p w:rsidR="00B55703" w:rsidRPr="00B55703" w:rsidRDefault="00B55703" w:rsidP="00B55703">
      <w:pPr>
        <w:pStyle w:val="EnvelopeReturn"/>
        <w:rPr>
          <w:lang w:val="en-CA"/>
        </w:rPr>
      </w:pPr>
      <w:r w:rsidRPr="00B55703">
        <w:rPr>
          <w:lang w:val="en-CA"/>
        </w:rPr>
        <w:tab/>
      </w:r>
    </w:p>
    <w:p w:rsidR="00B55703" w:rsidRPr="00B55703" w:rsidRDefault="00B55703" w:rsidP="00EC1D2A">
      <w:pPr>
        <w:pStyle w:val="EnvelopeReturn"/>
        <w:numPr>
          <w:ilvl w:val="0"/>
          <w:numId w:val="22"/>
        </w:numPr>
        <w:tabs>
          <w:tab w:val="clear" w:pos="1440"/>
        </w:tabs>
        <w:ind w:left="720" w:hanging="360"/>
        <w:rPr>
          <w:lang w:val="en-CA"/>
        </w:rPr>
      </w:pPr>
      <w:r w:rsidRPr="00B55703">
        <w:rPr>
          <w:lang w:val="en-CA"/>
        </w:rPr>
        <w:t xml:space="preserve">Identify the myths and stereotypes of aging and use critical thinking skills to challenge these. </w:t>
      </w:r>
    </w:p>
    <w:p w:rsidR="00B55703" w:rsidRPr="00B55703" w:rsidRDefault="00B55703" w:rsidP="00B55703">
      <w:pPr>
        <w:pStyle w:val="EnvelopeReturn"/>
        <w:rPr>
          <w:lang w:val="en-CA"/>
        </w:rPr>
      </w:pPr>
    </w:p>
    <w:p w:rsidR="00B55703" w:rsidRPr="00B55703" w:rsidRDefault="00B55703" w:rsidP="00B55703">
      <w:pPr>
        <w:pStyle w:val="EnvelopeReturn"/>
        <w:rPr>
          <w:b/>
          <w:bCs/>
          <w:i/>
          <w:iCs/>
          <w:lang w:val="en-CA"/>
        </w:rPr>
      </w:pPr>
      <w:r w:rsidRPr="00B55703">
        <w:rPr>
          <w:lang w:val="en-CA"/>
        </w:rPr>
        <w:tab/>
      </w:r>
      <w:r w:rsidRPr="00B55703">
        <w:rPr>
          <w:b/>
          <w:bCs/>
          <w:i/>
          <w:iCs/>
          <w:lang w:val="en-CA"/>
        </w:rPr>
        <w:t>Potential Elements of Performance:</w:t>
      </w:r>
    </w:p>
    <w:p w:rsidR="00B55703" w:rsidRPr="00B55703" w:rsidRDefault="00B55703" w:rsidP="00EC1D2A">
      <w:pPr>
        <w:pStyle w:val="EnvelopeReturn"/>
        <w:numPr>
          <w:ilvl w:val="0"/>
          <w:numId w:val="12"/>
        </w:numPr>
        <w:rPr>
          <w:lang w:val="en-CA"/>
        </w:rPr>
      </w:pPr>
      <w:r w:rsidRPr="00B55703">
        <w:rPr>
          <w:lang w:val="en-CA"/>
        </w:rPr>
        <w:t>Ability to identify facts and myths in regards to aging.</w:t>
      </w:r>
    </w:p>
    <w:p w:rsidR="00B55703" w:rsidRPr="00B55703" w:rsidRDefault="00B55703" w:rsidP="00EC1D2A">
      <w:pPr>
        <w:pStyle w:val="EnvelopeReturn"/>
        <w:numPr>
          <w:ilvl w:val="0"/>
          <w:numId w:val="12"/>
        </w:numPr>
        <w:rPr>
          <w:lang w:val="en-CA"/>
        </w:rPr>
      </w:pPr>
      <w:r w:rsidRPr="00B55703">
        <w:rPr>
          <w:lang w:val="en-CA"/>
        </w:rPr>
        <w:t>Ability to apply sound reasoning and thinking skills to understand social issues related to the older adults.</w:t>
      </w:r>
    </w:p>
    <w:p w:rsidR="00B55703" w:rsidRPr="00B55703" w:rsidRDefault="00B55703" w:rsidP="00EC1D2A">
      <w:pPr>
        <w:pStyle w:val="EnvelopeReturn"/>
        <w:numPr>
          <w:ilvl w:val="0"/>
          <w:numId w:val="12"/>
        </w:numPr>
        <w:rPr>
          <w:lang w:val="en-CA"/>
        </w:rPr>
      </w:pPr>
      <w:r w:rsidRPr="00B55703">
        <w:rPr>
          <w:lang w:val="en-CA"/>
        </w:rPr>
        <w:t xml:space="preserve">Ability to incorporate facts in </w:t>
      </w:r>
      <w:proofErr w:type="spellStart"/>
      <w:r w:rsidRPr="00B55703">
        <w:rPr>
          <w:lang w:val="en-CA"/>
        </w:rPr>
        <w:t>biopsychosocial</w:t>
      </w:r>
      <w:proofErr w:type="spellEnd"/>
      <w:r w:rsidRPr="00B55703">
        <w:rPr>
          <w:lang w:val="en-CA"/>
        </w:rPr>
        <w:t xml:space="preserve"> assessment and intervention planning and service delivery</w:t>
      </w:r>
    </w:p>
    <w:p w:rsidR="00B55703" w:rsidRPr="00B55703" w:rsidRDefault="00B55703" w:rsidP="00EC1D2A">
      <w:pPr>
        <w:pStyle w:val="EnvelopeReturn"/>
        <w:numPr>
          <w:ilvl w:val="0"/>
          <w:numId w:val="12"/>
        </w:numPr>
        <w:rPr>
          <w:lang w:val="en-CA"/>
        </w:rPr>
      </w:pPr>
      <w:r w:rsidRPr="00B55703">
        <w:rPr>
          <w:lang w:val="en-CA"/>
        </w:rPr>
        <w:t xml:space="preserve">Develop critical thinking skills that challenge racism, sexism and ageism related to the older adults population </w:t>
      </w:r>
    </w:p>
    <w:p w:rsidR="00B55703" w:rsidRPr="00B55703" w:rsidRDefault="00B55703" w:rsidP="00B55703">
      <w:pPr>
        <w:pStyle w:val="EnvelopeReturn"/>
        <w:rPr>
          <w:lang w:val="en-CA"/>
        </w:rPr>
      </w:pPr>
      <w:r w:rsidRPr="00B55703">
        <w:rPr>
          <w:lang w:val="en-CA"/>
        </w:rPr>
        <w:tab/>
      </w:r>
    </w:p>
    <w:p w:rsidR="00B55703" w:rsidRPr="00B55703" w:rsidRDefault="00B55703" w:rsidP="00EC1D2A">
      <w:pPr>
        <w:pStyle w:val="EnvelopeReturn"/>
        <w:numPr>
          <w:ilvl w:val="0"/>
          <w:numId w:val="22"/>
        </w:numPr>
        <w:tabs>
          <w:tab w:val="clear" w:pos="1440"/>
        </w:tabs>
        <w:ind w:left="720" w:hanging="360"/>
        <w:rPr>
          <w:lang w:val="en-CA"/>
        </w:rPr>
      </w:pPr>
      <w:r w:rsidRPr="00B55703">
        <w:rPr>
          <w:lang w:val="en-CA"/>
        </w:rPr>
        <w:t xml:space="preserve">Formulate </w:t>
      </w:r>
      <w:proofErr w:type="spellStart"/>
      <w:r w:rsidRPr="00B55703">
        <w:rPr>
          <w:lang w:val="en-CA"/>
        </w:rPr>
        <w:t>biopsychosocial</w:t>
      </w:r>
      <w:proofErr w:type="spellEnd"/>
      <w:r w:rsidRPr="00B55703">
        <w:rPr>
          <w:lang w:val="en-CA"/>
        </w:rPr>
        <w:t xml:space="preserve"> assessments relevant to the support of older adults and their families. </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ab/>
      </w:r>
      <w:r w:rsidRPr="00B55703">
        <w:rPr>
          <w:b/>
          <w:bCs/>
          <w:i/>
          <w:iCs/>
          <w:lang w:val="en-CA"/>
        </w:rPr>
        <w:t>Potential Elements of Performance:</w:t>
      </w:r>
    </w:p>
    <w:p w:rsidR="00B55703" w:rsidRPr="00B55703" w:rsidRDefault="00B55703" w:rsidP="00EC1D2A">
      <w:pPr>
        <w:pStyle w:val="EnvelopeReturn"/>
        <w:numPr>
          <w:ilvl w:val="0"/>
          <w:numId w:val="13"/>
        </w:numPr>
        <w:rPr>
          <w:lang w:val="en-CA"/>
        </w:rPr>
      </w:pPr>
      <w:r w:rsidRPr="00B55703">
        <w:rPr>
          <w:lang w:val="en-CA"/>
        </w:rPr>
        <w:t>Demonstrate understanding of the purpose and components of a comprehensive assessment.</w:t>
      </w:r>
    </w:p>
    <w:p w:rsidR="00B55703" w:rsidRPr="00B55703" w:rsidRDefault="00B55703" w:rsidP="00EC1D2A">
      <w:pPr>
        <w:pStyle w:val="EnvelopeReturn"/>
        <w:numPr>
          <w:ilvl w:val="0"/>
          <w:numId w:val="13"/>
        </w:numPr>
        <w:rPr>
          <w:lang w:val="en-CA"/>
        </w:rPr>
      </w:pPr>
      <w:r w:rsidRPr="00B55703">
        <w:rPr>
          <w:lang w:val="en-CA"/>
        </w:rPr>
        <w:t>Demonstrate understanding of the role and limitations of a social service worker in the assessment process.</w:t>
      </w:r>
    </w:p>
    <w:p w:rsidR="00B55703" w:rsidRPr="00B55703" w:rsidRDefault="00B55703" w:rsidP="00EC1D2A">
      <w:pPr>
        <w:pStyle w:val="EnvelopeReturn"/>
        <w:numPr>
          <w:ilvl w:val="0"/>
          <w:numId w:val="13"/>
        </w:numPr>
        <w:rPr>
          <w:lang w:val="en-CA"/>
        </w:rPr>
      </w:pPr>
      <w:r w:rsidRPr="00B55703">
        <w:rPr>
          <w:lang w:val="en-CA"/>
        </w:rPr>
        <w:t xml:space="preserve">Demonstrate ability to formulate a </w:t>
      </w:r>
      <w:proofErr w:type="spellStart"/>
      <w:r w:rsidRPr="00B55703">
        <w:rPr>
          <w:lang w:val="en-CA"/>
        </w:rPr>
        <w:t>biopsychosocial</w:t>
      </w:r>
      <w:proofErr w:type="spellEnd"/>
      <w:r w:rsidRPr="00B55703">
        <w:rPr>
          <w:lang w:val="en-CA"/>
        </w:rPr>
        <w:t xml:space="preserve"> assessment in relation to older adults and their families.</w:t>
      </w:r>
    </w:p>
    <w:p w:rsidR="00B55703" w:rsidRPr="00B55703" w:rsidRDefault="00B55703" w:rsidP="00EC1D2A">
      <w:pPr>
        <w:pStyle w:val="EnvelopeReturn"/>
        <w:numPr>
          <w:ilvl w:val="0"/>
          <w:numId w:val="13"/>
        </w:numPr>
        <w:rPr>
          <w:lang w:val="en-CA"/>
        </w:rPr>
      </w:pPr>
      <w:r w:rsidRPr="00B55703">
        <w:rPr>
          <w:lang w:val="en-CA"/>
        </w:rPr>
        <w:t>Understand the importance of searching out and developing informal and formal resources that can serve older adults.</w:t>
      </w:r>
    </w:p>
    <w:p w:rsidR="00B55703" w:rsidRPr="00B55703" w:rsidRDefault="00B55703" w:rsidP="00EC1D2A">
      <w:pPr>
        <w:pStyle w:val="EnvelopeReturn"/>
        <w:numPr>
          <w:ilvl w:val="0"/>
          <w:numId w:val="13"/>
        </w:numPr>
        <w:rPr>
          <w:lang w:val="en-CA"/>
        </w:rPr>
      </w:pPr>
      <w:r w:rsidRPr="00B55703">
        <w:rPr>
          <w:lang w:val="en-CA"/>
        </w:rPr>
        <w:t xml:space="preserve">Understand the role of Power of Attorney. </w:t>
      </w:r>
    </w:p>
    <w:p w:rsidR="00B55703" w:rsidRPr="00B55703" w:rsidRDefault="00B55703" w:rsidP="00EC1D2A">
      <w:pPr>
        <w:pStyle w:val="EnvelopeReturn"/>
        <w:numPr>
          <w:ilvl w:val="0"/>
          <w:numId w:val="13"/>
        </w:numPr>
        <w:rPr>
          <w:lang w:val="en-CA"/>
        </w:rPr>
      </w:pPr>
      <w:r w:rsidRPr="00B55703">
        <w:rPr>
          <w:lang w:val="en-CA"/>
        </w:rPr>
        <w:t>Demonstrate understanding of the needs of the caregivers of older adults.</w:t>
      </w:r>
    </w:p>
    <w:p w:rsidR="004033A9" w:rsidRDefault="004033A9">
      <w:pPr>
        <w:rPr>
          <w:rFonts w:ascii="Arial" w:hAnsi="Arial"/>
          <w:lang w:val="en-CA"/>
        </w:rPr>
      </w:pPr>
      <w:r>
        <w:rPr>
          <w:lang w:val="en-CA"/>
        </w:rPr>
        <w:br w:type="page"/>
      </w:r>
    </w:p>
    <w:p w:rsidR="00B55703" w:rsidRPr="00B55703" w:rsidRDefault="00B55703" w:rsidP="00B55703">
      <w:pPr>
        <w:pStyle w:val="EnvelopeReturn"/>
        <w:rPr>
          <w:lang w:val="en-CA"/>
        </w:rPr>
      </w:pPr>
    </w:p>
    <w:p w:rsidR="00B55703" w:rsidRPr="00B55703" w:rsidRDefault="00B55703" w:rsidP="00EC1D2A">
      <w:pPr>
        <w:pStyle w:val="EnvelopeReturn"/>
        <w:numPr>
          <w:ilvl w:val="0"/>
          <w:numId w:val="22"/>
        </w:numPr>
        <w:tabs>
          <w:tab w:val="clear" w:pos="1440"/>
        </w:tabs>
        <w:ind w:left="720" w:hanging="360"/>
        <w:rPr>
          <w:lang w:val="en-CA"/>
        </w:rPr>
      </w:pPr>
      <w:r w:rsidRPr="00B55703">
        <w:rPr>
          <w:lang w:val="en-CA"/>
        </w:rPr>
        <w:t xml:space="preserve">Identify factors associated with substance abuse, elder abuse, and gambling problems and possess knowledge of interventions and reporting procedures. </w:t>
      </w:r>
    </w:p>
    <w:p w:rsidR="00B55703" w:rsidRPr="00B55703" w:rsidRDefault="00B55703" w:rsidP="00B55703">
      <w:pPr>
        <w:pStyle w:val="EnvelopeReturn"/>
        <w:rPr>
          <w:lang w:val="en-CA"/>
        </w:rPr>
      </w:pPr>
    </w:p>
    <w:p w:rsidR="00B55703" w:rsidRPr="00B55703" w:rsidRDefault="00B55703" w:rsidP="00B55703">
      <w:pPr>
        <w:pStyle w:val="EnvelopeReturn"/>
        <w:rPr>
          <w:b/>
          <w:bCs/>
          <w:i/>
          <w:iCs/>
          <w:lang w:val="en-CA"/>
        </w:rPr>
      </w:pPr>
      <w:r w:rsidRPr="00B55703">
        <w:rPr>
          <w:lang w:val="en-CA"/>
        </w:rPr>
        <w:tab/>
      </w:r>
      <w:r w:rsidRPr="00B55703">
        <w:rPr>
          <w:b/>
          <w:bCs/>
          <w:i/>
          <w:iCs/>
          <w:lang w:val="en-CA"/>
        </w:rPr>
        <w:t>Potential Elements of Performance:</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4"/>
        </w:numPr>
        <w:rPr>
          <w:lang w:val="en-CA"/>
        </w:rPr>
      </w:pPr>
      <w:r w:rsidRPr="00B55703">
        <w:rPr>
          <w:lang w:val="en-CA"/>
        </w:rPr>
        <w:t xml:space="preserve">Demonstrate understanding of the indicators and intervention approaches in each area. </w:t>
      </w:r>
    </w:p>
    <w:p w:rsidR="00B55703" w:rsidRPr="00B55703" w:rsidRDefault="00B55703" w:rsidP="00E1305C">
      <w:pPr>
        <w:pStyle w:val="EnvelopeReturn"/>
        <w:tabs>
          <w:tab w:val="left" w:pos="2160"/>
        </w:tabs>
        <w:ind w:left="2160" w:hanging="720"/>
        <w:rPr>
          <w:lang w:val="en-CA"/>
        </w:rPr>
      </w:pPr>
      <w:r w:rsidRPr="00B55703">
        <w:rPr>
          <w:lang w:val="en-CA"/>
        </w:rPr>
        <w:t>b.</w:t>
      </w:r>
      <w:r w:rsidRPr="00B55703">
        <w:rPr>
          <w:lang w:val="en-CA"/>
        </w:rPr>
        <w:tab/>
        <w:t xml:space="preserve">Demonstrate understanding of the social context and contributing factors </w:t>
      </w:r>
      <w:r w:rsidRPr="00B55703">
        <w:rPr>
          <w:lang w:val="en-CA"/>
        </w:rPr>
        <w:tab/>
        <w:t>to elder abuse, gambling problems and substance abuse.</w:t>
      </w:r>
    </w:p>
    <w:p w:rsidR="00B55703" w:rsidRPr="00B55703" w:rsidRDefault="00E1305C" w:rsidP="00E1305C">
      <w:pPr>
        <w:pStyle w:val="EnvelopeReturn"/>
        <w:tabs>
          <w:tab w:val="num" w:pos="2160"/>
        </w:tabs>
        <w:ind w:left="2160" w:hanging="720"/>
        <w:rPr>
          <w:lang w:val="en-CA"/>
        </w:rPr>
      </w:pPr>
      <w:r>
        <w:rPr>
          <w:lang w:val="en-CA"/>
        </w:rPr>
        <w:t>c.</w:t>
      </w:r>
      <w:r>
        <w:rPr>
          <w:lang w:val="en-CA"/>
        </w:rPr>
        <w:tab/>
      </w:r>
      <w:r w:rsidR="00B55703" w:rsidRPr="00B55703">
        <w:rPr>
          <w:lang w:val="en-CA"/>
        </w:rPr>
        <w:t xml:space="preserve">Demonstrate understand of the social service agencies available in the community targeted for these social problems. </w:t>
      </w:r>
    </w:p>
    <w:p w:rsidR="00B55703" w:rsidRPr="00B55703" w:rsidRDefault="00B55703" w:rsidP="00B55703">
      <w:pPr>
        <w:pStyle w:val="EnvelopeReturn"/>
        <w:rPr>
          <w:lang w:val="en-CA"/>
        </w:rPr>
      </w:pPr>
    </w:p>
    <w:p w:rsidR="00B55703" w:rsidRPr="00B55703" w:rsidRDefault="00B55703" w:rsidP="00E1305C">
      <w:pPr>
        <w:pStyle w:val="EnvelopeReturn"/>
        <w:ind w:left="720" w:hanging="360"/>
        <w:rPr>
          <w:lang w:val="en-CA"/>
        </w:rPr>
      </w:pPr>
      <w:r w:rsidRPr="00B55703">
        <w:rPr>
          <w:lang w:val="en-CA"/>
        </w:rPr>
        <w:t>6.</w:t>
      </w:r>
      <w:r w:rsidRPr="00B55703">
        <w:rPr>
          <w:lang w:val="en-CA"/>
        </w:rPr>
        <w:tab/>
        <w:t>Demonstrate beginning knowledge of social service work interventions with the older adult population.</w:t>
      </w:r>
    </w:p>
    <w:p w:rsidR="00B55703" w:rsidRPr="00B55703" w:rsidRDefault="00B55703" w:rsidP="00B55703">
      <w:pPr>
        <w:pStyle w:val="EnvelopeReturn"/>
        <w:rPr>
          <w:lang w:val="en-CA"/>
        </w:rPr>
      </w:pPr>
    </w:p>
    <w:p w:rsidR="00B55703" w:rsidRPr="00B55703" w:rsidRDefault="00B55703" w:rsidP="00B55703">
      <w:pPr>
        <w:pStyle w:val="EnvelopeReturn"/>
        <w:rPr>
          <w:b/>
          <w:bCs/>
          <w:i/>
          <w:iCs/>
          <w:lang w:val="en-CA"/>
        </w:rPr>
      </w:pPr>
      <w:r w:rsidRPr="00B55703">
        <w:rPr>
          <w:lang w:val="en-CA"/>
        </w:rPr>
        <w:tab/>
      </w:r>
      <w:r w:rsidRPr="00B55703">
        <w:rPr>
          <w:b/>
          <w:bCs/>
          <w:i/>
          <w:iCs/>
          <w:lang w:val="en-CA"/>
        </w:rPr>
        <w:t>Potential Elements of Performance:</w:t>
      </w:r>
    </w:p>
    <w:p w:rsidR="00B55703" w:rsidRPr="00B55703" w:rsidRDefault="00B55703" w:rsidP="00B55703">
      <w:pPr>
        <w:pStyle w:val="EnvelopeReturn"/>
        <w:rPr>
          <w:lang w:val="en-CA"/>
        </w:rPr>
      </w:pPr>
    </w:p>
    <w:p w:rsidR="00B55703" w:rsidRPr="00B55703" w:rsidRDefault="00B55703" w:rsidP="00E1305C">
      <w:pPr>
        <w:pStyle w:val="EnvelopeReturn"/>
        <w:tabs>
          <w:tab w:val="left" w:pos="2160"/>
        </w:tabs>
        <w:ind w:left="2160" w:hanging="720"/>
        <w:rPr>
          <w:lang w:val="en-CA"/>
        </w:rPr>
      </w:pPr>
      <w:r w:rsidRPr="00B55703">
        <w:rPr>
          <w:lang w:val="en-CA"/>
        </w:rPr>
        <w:t>a.</w:t>
      </w:r>
      <w:r w:rsidRPr="00B55703">
        <w:rPr>
          <w:lang w:val="en-CA"/>
        </w:rPr>
        <w:tab/>
        <w:t xml:space="preserve">Demonstrate understanding of the strengths based and empowerment </w:t>
      </w:r>
      <w:r w:rsidRPr="00B55703">
        <w:rPr>
          <w:lang w:val="en-CA"/>
        </w:rPr>
        <w:tab/>
        <w:t>approaches in social service work practice with older adults.</w:t>
      </w:r>
    </w:p>
    <w:p w:rsidR="00B55703" w:rsidRPr="00B55703" w:rsidRDefault="00B55703" w:rsidP="00EC1D2A">
      <w:pPr>
        <w:pStyle w:val="EnvelopeReturn"/>
        <w:numPr>
          <w:ilvl w:val="0"/>
          <w:numId w:val="14"/>
        </w:numPr>
        <w:rPr>
          <w:lang w:val="en-CA"/>
        </w:rPr>
      </w:pPr>
      <w:r w:rsidRPr="00B55703">
        <w:rPr>
          <w:lang w:val="en-CA"/>
        </w:rPr>
        <w:t>Demonstrate understanding of the importance of developing professional relationships with older adult clients.</w:t>
      </w:r>
    </w:p>
    <w:p w:rsidR="00B55703" w:rsidRPr="00B55703" w:rsidRDefault="00B55703" w:rsidP="00EC1D2A">
      <w:pPr>
        <w:pStyle w:val="EnvelopeReturn"/>
        <w:numPr>
          <w:ilvl w:val="0"/>
          <w:numId w:val="14"/>
        </w:numPr>
        <w:rPr>
          <w:lang w:val="en-CA"/>
        </w:rPr>
      </w:pPr>
      <w:r w:rsidRPr="00B55703">
        <w:rPr>
          <w:lang w:val="en-CA"/>
        </w:rPr>
        <w:t>Demonstrate basic understanding of intervention approaches: use of groups, supportive, strengths-based, cognitive-behavioural, reminiscence and life review, and use of recreation, music, art, drama, and animal-assisted therapy</w:t>
      </w:r>
    </w:p>
    <w:p w:rsidR="00B55703" w:rsidRPr="00B55703" w:rsidRDefault="00B55703" w:rsidP="00EC1D2A">
      <w:pPr>
        <w:pStyle w:val="EnvelopeReturn"/>
        <w:numPr>
          <w:ilvl w:val="0"/>
          <w:numId w:val="14"/>
        </w:numPr>
        <w:rPr>
          <w:lang w:val="en-CA"/>
        </w:rPr>
      </w:pPr>
      <w:r w:rsidRPr="00B55703">
        <w:rPr>
          <w:lang w:val="en-CA"/>
        </w:rPr>
        <w:t>Ability to identify ethical dilemmas and ethical approaches to problem solving and solution building.</w:t>
      </w:r>
    </w:p>
    <w:p w:rsidR="00B55703" w:rsidRPr="00B55703" w:rsidRDefault="00B55703" w:rsidP="00EC1D2A">
      <w:pPr>
        <w:pStyle w:val="EnvelopeReturn"/>
        <w:numPr>
          <w:ilvl w:val="0"/>
          <w:numId w:val="14"/>
        </w:numPr>
        <w:rPr>
          <w:lang w:val="en-CA"/>
        </w:rPr>
      </w:pPr>
      <w:r w:rsidRPr="00B55703">
        <w:rPr>
          <w:lang w:val="en-CA"/>
        </w:rPr>
        <w:t>Demonstrate respect for the rights of older adults to participate fully in the decision-making that affects their lives.</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5"/>
        </w:numPr>
        <w:rPr>
          <w:lang w:val="en-CA"/>
        </w:rPr>
      </w:pPr>
      <w:r w:rsidRPr="00B55703">
        <w:rPr>
          <w:lang w:val="en-CA"/>
        </w:rPr>
        <w:t>Demonstrate beginning knowledge of mental health issues that impact on the quality of life of older adults persons.</w:t>
      </w:r>
    </w:p>
    <w:p w:rsidR="00B55703" w:rsidRPr="00B55703" w:rsidRDefault="00B55703" w:rsidP="00B55703">
      <w:pPr>
        <w:pStyle w:val="EnvelopeReturn"/>
        <w:rPr>
          <w:lang w:val="en-CA"/>
        </w:rPr>
      </w:pPr>
    </w:p>
    <w:p w:rsidR="00B55703" w:rsidRPr="00B55703" w:rsidRDefault="00B55703" w:rsidP="00B55703">
      <w:pPr>
        <w:pStyle w:val="EnvelopeReturn"/>
        <w:rPr>
          <w:b/>
          <w:bCs/>
          <w:i/>
          <w:iCs/>
          <w:lang w:val="en-CA"/>
        </w:rPr>
      </w:pPr>
      <w:r w:rsidRPr="00B55703">
        <w:rPr>
          <w:lang w:val="en-CA"/>
        </w:rPr>
        <w:tab/>
      </w:r>
      <w:r w:rsidRPr="00B55703">
        <w:rPr>
          <w:lang w:val="en-CA"/>
        </w:rPr>
        <w:tab/>
      </w:r>
      <w:r w:rsidRPr="00B55703">
        <w:rPr>
          <w:b/>
          <w:bCs/>
          <w:i/>
          <w:iCs/>
          <w:lang w:val="en-CA"/>
        </w:rPr>
        <w:t>Potential Elements of Performance:</w:t>
      </w:r>
    </w:p>
    <w:p w:rsidR="00B55703" w:rsidRPr="00B55703" w:rsidRDefault="00B55703" w:rsidP="00B55703">
      <w:pPr>
        <w:pStyle w:val="EnvelopeReturn"/>
        <w:rPr>
          <w:lang w:val="en-CA"/>
        </w:rPr>
      </w:pPr>
    </w:p>
    <w:p w:rsidR="00B55703" w:rsidRPr="00B55703" w:rsidRDefault="00B55703" w:rsidP="00EC1D2A">
      <w:pPr>
        <w:pStyle w:val="EnvelopeReturn"/>
        <w:numPr>
          <w:ilvl w:val="1"/>
          <w:numId w:val="22"/>
        </w:numPr>
        <w:rPr>
          <w:lang w:val="en-CA"/>
        </w:rPr>
      </w:pPr>
      <w:r w:rsidRPr="00B55703">
        <w:rPr>
          <w:lang w:val="en-CA"/>
        </w:rPr>
        <w:t>Demonstrate awareness of risk factors for depression, suicide and anxiety in the older adult population.</w:t>
      </w:r>
    </w:p>
    <w:p w:rsidR="00B55703" w:rsidRPr="00B55703" w:rsidRDefault="00B55703" w:rsidP="00EC1D2A">
      <w:pPr>
        <w:pStyle w:val="EnvelopeReturn"/>
        <w:numPr>
          <w:ilvl w:val="1"/>
          <w:numId w:val="22"/>
        </w:numPr>
        <w:rPr>
          <w:lang w:val="en-CA"/>
        </w:rPr>
      </w:pPr>
      <w:r w:rsidRPr="00B55703">
        <w:rPr>
          <w:lang w:val="en-CA"/>
        </w:rPr>
        <w:t>Understand and identify the symptoms of dementia and delirium</w:t>
      </w:r>
    </w:p>
    <w:p w:rsidR="00B55703" w:rsidRPr="00B55703" w:rsidRDefault="00B55703" w:rsidP="00EC1D2A">
      <w:pPr>
        <w:pStyle w:val="EnvelopeReturn"/>
        <w:numPr>
          <w:ilvl w:val="1"/>
          <w:numId w:val="22"/>
        </w:numPr>
        <w:rPr>
          <w:lang w:val="en-CA"/>
        </w:rPr>
      </w:pPr>
      <w:r w:rsidRPr="00B55703">
        <w:rPr>
          <w:lang w:val="en-CA"/>
        </w:rPr>
        <w:t>Demonstrate beginning awareness of assessment and intervention in relation to these issues.</w:t>
      </w:r>
      <w:r w:rsidRPr="00B55703">
        <w:rPr>
          <w:lang w:val="en-CA"/>
        </w:rPr>
        <w:tab/>
      </w:r>
    </w:p>
    <w:p w:rsidR="00B55703" w:rsidRPr="00B55703" w:rsidRDefault="00B55703" w:rsidP="00B55703">
      <w:pPr>
        <w:pStyle w:val="EnvelopeReturn"/>
        <w:rPr>
          <w:lang w:val="en-CA"/>
        </w:rPr>
      </w:pPr>
    </w:p>
    <w:p w:rsidR="00E1305C" w:rsidRDefault="00E1305C">
      <w:pPr>
        <w:rPr>
          <w:rFonts w:ascii="Arial" w:hAnsi="Arial"/>
          <w:lang w:val="en-CA"/>
        </w:rPr>
      </w:pPr>
      <w:r>
        <w:rPr>
          <w:lang w:val="en-CA"/>
        </w:rPr>
        <w:br w:type="page"/>
      </w:r>
    </w:p>
    <w:p w:rsidR="00B55703" w:rsidRPr="00B55703" w:rsidRDefault="00B55703" w:rsidP="00EC1D2A">
      <w:pPr>
        <w:pStyle w:val="EnvelopeReturn"/>
        <w:numPr>
          <w:ilvl w:val="0"/>
          <w:numId w:val="15"/>
        </w:numPr>
        <w:rPr>
          <w:lang w:val="en-CA"/>
        </w:rPr>
      </w:pPr>
      <w:r w:rsidRPr="00B55703">
        <w:rPr>
          <w:lang w:val="en-CA"/>
        </w:rPr>
        <w:lastRenderedPageBreak/>
        <w:t>Understand bereavement, grief, loss and dying as part of social service work practice with the older adults.</w:t>
      </w:r>
    </w:p>
    <w:p w:rsidR="00B55703" w:rsidRPr="00B55703" w:rsidRDefault="00B55703" w:rsidP="00B55703">
      <w:pPr>
        <w:pStyle w:val="EnvelopeReturn"/>
        <w:rPr>
          <w:lang w:val="en-CA"/>
        </w:rPr>
      </w:pPr>
    </w:p>
    <w:p w:rsidR="00B55703" w:rsidRPr="00B55703" w:rsidRDefault="00B55703" w:rsidP="00B55703">
      <w:pPr>
        <w:pStyle w:val="EnvelopeReturn"/>
        <w:rPr>
          <w:b/>
          <w:bCs/>
          <w:i/>
          <w:iCs/>
          <w:lang w:val="en-CA"/>
        </w:rPr>
      </w:pPr>
      <w:r w:rsidRPr="00B55703">
        <w:rPr>
          <w:lang w:val="en-CA"/>
        </w:rPr>
        <w:tab/>
      </w:r>
      <w:r w:rsidRPr="00B55703">
        <w:rPr>
          <w:lang w:val="en-CA"/>
        </w:rPr>
        <w:tab/>
      </w:r>
      <w:r w:rsidRPr="00B55703">
        <w:rPr>
          <w:b/>
          <w:bCs/>
          <w:i/>
          <w:iCs/>
          <w:lang w:val="en-CA"/>
        </w:rPr>
        <w:t>Potential Elements of Performance:</w:t>
      </w:r>
    </w:p>
    <w:p w:rsidR="00B55703" w:rsidRPr="00B55703" w:rsidRDefault="00B55703" w:rsidP="00B55703">
      <w:pPr>
        <w:pStyle w:val="EnvelopeReturn"/>
        <w:rPr>
          <w:b/>
          <w:bCs/>
          <w:i/>
          <w:iCs/>
          <w:lang w:val="en-CA"/>
        </w:rPr>
      </w:pPr>
    </w:p>
    <w:p w:rsidR="00B55703" w:rsidRPr="00B55703" w:rsidRDefault="00B55703" w:rsidP="00EC1D2A">
      <w:pPr>
        <w:pStyle w:val="EnvelopeReturn"/>
        <w:numPr>
          <w:ilvl w:val="1"/>
          <w:numId w:val="15"/>
        </w:numPr>
        <w:rPr>
          <w:lang w:val="en-CA"/>
        </w:rPr>
      </w:pPr>
      <w:r w:rsidRPr="00B55703">
        <w:rPr>
          <w:lang w:val="en-CA"/>
        </w:rPr>
        <w:t>Demonstrate understanding of the process of grief and implications for the older adult and their caregivers.</w:t>
      </w:r>
    </w:p>
    <w:p w:rsidR="00B55703" w:rsidRPr="00B55703" w:rsidRDefault="00B55703" w:rsidP="00EC1D2A">
      <w:pPr>
        <w:pStyle w:val="EnvelopeReturn"/>
        <w:numPr>
          <w:ilvl w:val="1"/>
          <w:numId w:val="15"/>
        </w:numPr>
        <w:rPr>
          <w:lang w:val="en-CA"/>
        </w:rPr>
      </w:pPr>
      <w:r w:rsidRPr="00B55703">
        <w:rPr>
          <w:lang w:val="en-CA"/>
        </w:rPr>
        <w:t>Demonstrate knowledge of social work interventions with bereaved elders and their families.</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p>
    <w:p w:rsidR="00B55703" w:rsidRPr="00B55703" w:rsidRDefault="00B55703" w:rsidP="00B55703">
      <w:pPr>
        <w:pStyle w:val="EnvelopeReturn"/>
        <w:rPr>
          <w:b/>
          <w:bCs/>
          <w:lang w:val="en-CA"/>
        </w:rPr>
      </w:pPr>
      <w:r w:rsidRPr="00B55703">
        <w:rPr>
          <w:b/>
          <w:bCs/>
          <w:lang w:val="en-CA"/>
        </w:rPr>
        <w:t xml:space="preserve">III. </w:t>
      </w:r>
      <w:r w:rsidRPr="00B55703">
        <w:rPr>
          <w:b/>
          <w:bCs/>
          <w:lang w:val="en-CA"/>
        </w:rPr>
        <w:tab/>
        <w:t>REQUIRED RESOURCES</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ab/>
        <w:t>McInnis-</w:t>
      </w:r>
      <w:proofErr w:type="spellStart"/>
      <w:r w:rsidRPr="00B55703">
        <w:rPr>
          <w:lang w:val="en-CA"/>
        </w:rPr>
        <w:t>Dittrich</w:t>
      </w:r>
      <w:proofErr w:type="spellEnd"/>
      <w:r w:rsidRPr="00B55703">
        <w:rPr>
          <w:lang w:val="en-CA"/>
        </w:rPr>
        <w:t xml:space="preserve">, </w:t>
      </w:r>
      <w:smartTag w:uri="urn:schemas:contacts" w:element="GivenName">
        <w:r w:rsidRPr="00B55703">
          <w:rPr>
            <w:lang w:val="en-CA"/>
          </w:rPr>
          <w:t>Kathleen</w:t>
        </w:r>
      </w:smartTag>
      <w:r w:rsidRPr="00B55703">
        <w:rPr>
          <w:lang w:val="en-CA"/>
        </w:rPr>
        <w:t xml:space="preserve"> (2009). </w:t>
      </w:r>
      <w:r w:rsidRPr="00B55703">
        <w:rPr>
          <w:i/>
          <w:iCs/>
          <w:lang w:val="en-CA"/>
        </w:rPr>
        <w:t xml:space="preserve">Social Work with Elders: A </w:t>
      </w:r>
      <w:r w:rsidR="004033A9">
        <w:rPr>
          <w:i/>
          <w:iCs/>
          <w:lang w:val="en-CA"/>
        </w:rPr>
        <w:tab/>
      </w:r>
      <w:r w:rsidR="004033A9">
        <w:rPr>
          <w:i/>
          <w:iCs/>
          <w:lang w:val="en-CA"/>
        </w:rPr>
        <w:tab/>
      </w:r>
      <w:r w:rsidR="004033A9">
        <w:rPr>
          <w:i/>
          <w:iCs/>
          <w:lang w:val="en-CA"/>
        </w:rPr>
        <w:tab/>
      </w:r>
      <w:r w:rsidR="004033A9">
        <w:rPr>
          <w:i/>
          <w:iCs/>
          <w:lang w:val="en-CA"/>
        </w:rPr>
        <w:tab/>
      </w:r>
      <w:proofErr w:type="spellStart"/>
      <w:r w:rsidRPr="00B55703">
        <w:rPr>
          <w:i/>
          <w:iCs/>
          <w:lang w:val="en-CA"/>
        </w:rPr>
        <w:t>biopsychosocial</w:t>
      </w:r>
      <w:proofErr w:type="spellEnd"/>
      <w:r w:rsidRPr="00B55703">
        <w:rPr>
          <w:i/>
          <w:iCs/>
          <w:lang w:val="en-CA"/>
        </w:rPr>
        <w:t xml:space="preserve"> approach to assessment and intervention.</w:t>
      </w:r>
      <w:r w:rsidRPr="00B55703">
        <w:rPr>
          <w:lang w:val="en-CA"/>
        </w:rPr>
        <w:t xml:space="preserve"> New </w:t>
      </w:r>
      <w:r w:rsidR="004033A9">
        <w:rPr>
          <w:lang w:val="en-CA"/>
        </w:rPr>
        <w:tab/>
      </w:r>
      <w:r w:rsidR="004033A9">
        <w:rPr>
          <w:lang w:val="en-CA"/>
        </w:rPr>
        <w:tab/>
      </w:r>
      <w:r w:rsidR="004033A9">
        <w:rPr>
          <w:lang w:val="en-CA"/>
        </w:rPr>
        <w:tab/>
      </w:r>
      <w:r w:rsidRPr="00B55703">
        <w:rPr>
          <w:lang w:val="en-CA"/>
        </w:rPr>
        <w:t>York: Pearson Education, Inc.</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Other readings may be assigned throughout the course, and will be noted on the course outline within each class date. </w:t>
      </w:r>
    </w:p>
    <w:p w:rsidR="00B55703" w:rsidRDefault="00B55703" w:rsidP="00B55703">
      <w:pPr>
        <w:pStyle w:val="EnvelopeReturn"/>
        <w:rPr>
          <w:lang w:val="en-CA"/>
        </w:rPr>
      </w:pPr>
    </w:p>
    <w:p w:rsidR="004033A9" w:rsidRPr="00B55703" w:rsidRDefault="004033A9" w:rsidP="00B55703">
      <w:pPr>
        <w:pStyle w:val="EnvelopeReturn"/>
        <w:rPr>
          <w:lang w:val="en-CA"/>
        </w:rPr>
      </w:pPr>
    </w:p>
    <w:p w:rsidR="00B55703" w:rsidRPr="00B55703" w:rsidRDefault="00B55703" w:rsidP="00B55703">
      <w:pPr>
        <w:pStyle w:val="EnvelopeReturn"/>
        <w:rPr>
          <w:b/>
          <w:bCs/>
          <w:lang w:val="en-CA"/>
        </w:rPr>
      </w:pPr>
      <w:r w:rsidRPr="00B55703">
        <w:rPr>
          <w:b/>
          <w:bCs/>
          <w:lang w:val="en-CA"/>
        </w:rPr>
        <w:t xml:space="preserve">IV </w:t>
      </w:r>
      <w:r w:rsidRPr="00B55703">
        <w:rPr>
          <w:b/>
          <w:bCs/>
          <w:lang w:val="en-CA"/>
        </w:rPr>
        <w:tab/>
        <w:t>METHODOLOGY</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The course will include lecture, class discussion, guest speakers as appropriate and available, and appropriate audiovisual resources. Students will be expected to complete all required readings and actively contribute to and participate in each class. Participation marks will be awarded based on the attached Participation and Professional Development Outline. </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The provisions of the “Social Service Worker Program Policies” will apply at all times in this course, especially in regards to confidentiality. </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p>
    <w:p w:rsidR="00B55703" w:rsidRPr="00B55703" w:rsidRDefault="00B55703" w:rsidP="00B55703">
      <w:pPr>
        <w:pStyle w:val="EnvelopeReturn"/>
        <w:rPr>
          <w:b/>
          <w:bCs/>
          <w:lang w:val="en-CA"/>
        </w:rPr>
      </w:pPr>
      <w:r w:rsidRPr="00B55703">
        <w:rPr>
          <w:b/>
          <w:bCs/>
          <w:lang w:val="en-CA"/>
        </w:rPr>
        <w:t>V.</w:t>
      </w:r>
      <w:r w:rsidRPr="00B55703">
        <w:rPr>
          <w:b/>
          <w:bCs/>
          <w:lang w:val="en-CA"/>
        </w:rPr>
        <w:tab/>
        <w:t>EVALUATION PROCESS/GRADING SYSTEM</w:t>
      </w:r>
    </w:p>
    <w:p w:rsidR="00B55703" w:rsidRPr="00B55703" w:rsidRDefault="00B55703" w:rsidP="00B55703">
      <w:pPr>
        <w:pStyle w:val="EnvelopeReturn"/>
        <w:rPr>
          <w:b/>
          <w:bCs/>
          <w:lang w:val="en-CA"/>
        </w:rPr>
      </w:pPr>
    </w:p>
    <w:p w:rsidR="00B55703" w:rsidRPr="00B55703" w:rsidRDefault="00B55703" w:rsidP="00B55703">
      <w:pPr>
        <w:pStyle w:val="EnvelopeReturn"/>
        <w:rPr>
          <w:lang w:val="en-CA"/>
        </w:rPr>
      </w:pPr>
      <w:r w:rsidRPr="00B55703">
        <w:rPr>
          <w:lang w:val="en-CA"/>
        </w:rPr>
        <w:t>1.</w:t>
      </w:r>
      <w:r w:rsidRPr="00B55703">
        <w:rPr>
          <w:lang w:val="en-CA"/>
        </w:rPr>
        <w:tab/>
        <w:t>Self reflection paper</w:t>
      </w:r>
      <w:r w:rsidRPr="00B55703">
        <w:rPr>
          <w:lang w:val="en-CA"/>
        </w:rPr>
        <w:tab/>
      </w:r>
      <w:r w:rsidRPr="00B55703">
        <w:rPr>
          <w:lang w:val="en-CA"/>
        </w:rPr>
        <w:tab/>
      </w:r>
      <w:r w:rsidRPr="00B55703">
        <w:rPr>
          <w:lang w:val="en-CA"/>
        </w:rPr>
        <w:tab/>
      </w:r>
      <w:r w:rsidRPr="00B55703">
        <w:rPr>
          <w:lang w:val="en-CA"/>
        </w:rPr>
        <w:tab/>
        <w:t>15%</w:t>
      </w:r>
    </w:p>
    <w:p w:rsidR="00B55703" w:rsidRPr="00B55703" w:rsidRDefault="00B55703" w:rsidP="00B55703">
      <w:pPr>
        <w:pStyle w:val="EnvelopeReturn"/>
        <w:rPr>
          <w:lang w:val="en-CA"/>
        </w:rPr>
      </w:pPr>
      <w:r w:rsidRPr="00B55703">
        <w:rPr>
          <w:lang w:val="en-CA"/>
        </w:rPr>
        <w:t>2.</w:t>
      </w:r>
      <w:r w:rsidRPr="00B55703">
        <w:rPr>
          <w:lang w:val="en-CA"/>
        </w:rPr>
        <w:tab/>
        <w:t>Quiz/quizzed or in-class activities</w:t>
      </w:r>
      <w:r w:rsidRPr="00B55703">
        <w:rPr>
          <w:lang w:val="en-CA"/>
        </w:rPr>
        <w:tab/>
      </w:r>
      <w:r w:rsidRPr="00B55703">
        <w:rPr>
          <w:lang w:val="en-CA"/>
        </w:rPr>
        <w:tab/>
        <w:t>20%</w:t>
      </w:r>
    </w:p>
    <w:p w:rsidR="00B55703" w:rsidRPr="00B55703" w:rsidRDefault="00B55703" w:rsidP="00B55703">
      <w:pPr>
        <w:pStyle w:val="EnvelopeReturn"/>
        <w:rPr>
          <w:lang w:val="en-CA"/>
        </w:rPr>
      </w:pPr>
      <w:r w:rsidRPr="00B55703">
        <w:rPr>
          <w:lang w:val="en-CA"/>
        </w:rPr>
        <w:t>3.</w:t>
      </w:r>
      <w:r w:rsidRPr="00B55703">
        <w:rPr>
          <w:lang w:val="en-CA"/>
        </w:rPr>
        <w:tab/>
        <w:t>Interview</w:t>
      </w:r>
      <w:r w:rsidRPr="00B55703">
        <w:rPr>
          <w:lang w:val="en-CA"/>
        </w:rPr>
        <w:tab/>
      </w:r>
      <w:r w:rsidRPr="00B55703">
        <w:rPr>
          <w:lang w:val="en-CA"/>
        </w:rPr>
        <w:tab/>
      </w:r>
      <w:r w:rsidRPr="00B55703">
        <w:rPr>
          <w:lang w:val="en-CA"/>
        </w:rPr>
        <w:tab/>
      </w:r>
      <w:r w:rsidRPr="00B55703">
        <w:rPr>
          <w:lang w:val="en-CA"/>
        </w:rPr>
        <w:tab/>
      </w:r>
      <w:r w:rsidRPr="00B55703">
        <w:rPr>
          <w:lang w:val="en-CA"/>
        </w:rPr>
        <w:tab/>
        <w:t>25%</w:t>
      </w:r>
    </w:p>
    <w:p w:rsidR="00B55703" w:rsidRPr="00B55703" w:rsidRDefault="00B55703" w:rsidP="00B55703">
      <w:pPr>
        <w:pStyle w:val="EnvelopeReturn"/>
        <w:rPr>
          <w:lang w:val="en-CA"/>
        </w:rPr>
      </w:pPr>
      <w:r w:rsidRPr="00B55703">
        <w:rPr>
          <w:lang w:val="en-CA"/>
        </w:rPr>
        <w:t>4.</w:t>
      </w:r>
      <w:r w:rsidRPr="00B55703">
        <w:rPr>
          <w:lang w:val="en-CA"/>
        </w:rPr>
        <w:tab/>
        <w:t>Social or recreational activity plan</w:t>
      </w:r>
      <w:r w:rsidRPr="00B55703">
        <w:rPr>
          <w:lang w:val="en-CA"/>
        </w:rPr>
        <w:tab/>
      </w:r>
      <w:r w:rsidRPr="00B55703">
        <w:rPr>
          <w:lang w:val="en-CA"/>
        </w:rPr>
        <w:tab/>
        <w:t>20%</w:t>
      </w:r>
    </w:p>
    <w:p w:rsidR="00B55703" w:rsidRPr="00B55703" w:rsidRDefault="00B55703" w:rsidP="00B55703">
      <w:pPr>
        <w:pStyle w:val="EnvelopeReturn"/>
        <w:rPr>
          <w:lang w:val="en-CA"/>
        </w:rPr>
      </w:pPr>
      <w:r w:rsidRPr="00B55703">
        <w:rPr>
          <w:lang w:val="en-CA"/>
        </w:rPr>
        <w:t>5.</w:t>
      </w:r>
      <w:r w:rsidRPr="00B55703">
        <w:rPr>
          <w:lang w:val="en-CA"/>
        </w:rPr>
        <w:tab/>
        <w:t>Final exam</w:t>
      </w:r>
      <w:r w:rsidRPr="00B55703">
        <w:rPr>
          <w:lang w:val="en-CA"/>
        </w:rPr>
        <w:tab/>
      </w:r>
      <w:r w:rsidRPr="00B55703">
        <w:rPr>
          <w:lang w:val="en-CA"/>
        </w:rPr>
        <w:tab/>
      </w:r>
      <w:r w:rsidRPr="00B55703">
        <w:rPr>
          <w:lang w:val="en-CA"/>
        </w:rPr>
        <w:tab/>
      </w:r>
      <w:r w:rsidRPr="00B55703">
        <w:rPr>
          <w:lang w:val="en-CA"/>
        </w:rPr>
        <w:tab/>
      </w:r>
      <w:r w:rsidRPr="00B55703">
        <w:rPr>
          <w:lang w:val="en-CA"/>
        </w:rPr>
        <w:tab/>
      </w:r>
      <w:r w:rsidRPr="00B55703">
        <w:rPr>
          <w:u w:val="single"/>
          <w:lang w:val="en-CA"/>
        </w:rPr>
        <w:t>20%</w:t>
      </w:r>
    </w:p>
    <w:p w:rsidR="00B55703" w:rsidRPr="00B55703" w:rsidRDefault="00B55703" w:rsidP="00B55703">
      <w:pPr>
        <w:pStyle w:val="EnvelopeReturn"/>
        <w:rPr>
          <w:lang w:val="en-CA"/>
        </w:rPr>
      </w:pPr>
      <w:r w:rsidRPr="00B55703">
        <w:rPr>
          <w:lang w:val="en-CA"/>
        </w:rPr>
        <w:tab/>
      </w:r>
      <w:r w:rsidRPr="00B55703">
        <w:rPr>
          <w:lang w:val="en-CA"/>
        </w:rPr>
        <w:tab/>
      </w:r>
      <w:r w:rsidRPr="00B55703">
        <w:rPr>
          <w:lang w:val="en-CA"/>
        </w:rPr>
        <w:tab/>
      </w:r>
      <w:r w:rsidRPr="00B55703">
        <w:rPr>
          <w:lang w:val="en-CA"/>
        </w:rPr>
        <w:tab/>
      </w:r>
      <w:r w:rsidRPr="00B55703">
        <w:rPr>
          <w:lang w:val="en-CA"/>
        </w:rPr>
        <w:tab/>
      </w:r>
      <w:r w:rsidRPr="00B55703">
        <w:rPr>
          <w:lang w:val="en-CA"/>
        </w:rPr>
        <w:tab/>
        <w:t xml:space="preserve">           100%</w:t>
      </w:r>
    </w:p>
    <w:p w:rsidR="00B55703" w:rsidRPr="00B55703" w:rsidRDefault="00B55703" w:rsidP="00B55703">
      <w:pPr>
        <w:pStyle w:val="EnvelopeReturn"/>
        <w:rPr>
          <w:b/>
          <w:bCs/>
          <w:lang w:val="en-CA"/>
        </w:rPr>
      </w:pPr>
    </w:p>
    <w:p w:rsidR="00EC1B45" w:rsidRDefault="00EC1B45">
      <w:r>
        <w:br w:type="page"/>
      </w:r>
    </w:p>
    <w:tbl>
      <w:tblPr>
        <w:tblW w:w="9288" w:type="dxa"/>
        <w:tblLayout w:type="fixed"/>
        <w:tblLook w:val="04A0"/>
      </w:tblPr>
      <w:tblGrid>
        <w:gridCol w:w="675"/>
        <w:gridCol w:w="1701"/>
        <w:gridCol w:w="4678"/>
        <w:gridCol w:w="2234"/>
      </w:tblGrid>
      <w:tr w:rsidR="00B55703" w:rsidRPr="00B55703" w:rsidTr="00EC1B45">
        <w:tc>
          <w:tcPr>
            <w:tcW w:w="675" w:type="dxa"/>
          </w:tcPr>
          <w:p w:rsidR="00B55703" w:rsidRPr="00B55703" w:rsidRDefault="00B55703" w:rsidP="004033A9">
            <w:pPr>
              <w:pStyle w:val="EnvelopeReturn"/>
              <w:jc w:val="center"/>
              <w:rPr>
                <w:lang w:val="en-CA"/>
              </w:rPr>
            </w:pPr>
          </w:p>
        </w:tc>
        <w:tc>
          <w:tcPr>
            <w:tcW w:w="1701" w:type="dxa"/>
            <w:hideMark/>
          </w:tcPr>
          <w:p w:rsidR="005A66BD" w:rsidRPr="00B55703" w:rsidRDefault="00B55703" w:rsidP="004033A9">
            <w:pPr>
              <w:pStyle w:val="EnvelopeReturn"/>
              <w:jc w:val="center"/>
              <w:rPr>
                <w:bCs/>
                <w:u w:val="single"/>
                <w:lang w:val="en-GB"/>
              </w:rPr>
            </w:pPr>
            <w:r w:rsidRPr="00B55703">
              <w:rPr>
                <w:bCs/>
                <w:u w:val="single"/>
                <w:lang w:val="en-GB"/>
              </w:rPr>
              <w:t>Grade</w:t>
            </w:r>
          </w:p>
        </w:tc>
        <w:tc>
          <w:tcPr>
            <w:tcW w:w="4678" w:type="dxa"/>
            <w:hideMark/>
          </w:tcPr>
          <w:p w:rsidR="005A66BD" w:rsidRPr="00B55703" w:rsidRDefault="00B55703" w:rsidP="004033A9">
            <w:pPr>
              <w:pStyle w:val="EnvelopeReturn"/>
              <w:jc w:val="center"/>
              <w:rPr>
                <w:bCs/>
                <w:u w:val="single"/>
              </w:rPr>
            </w:pPr>
            <w:r w:rsidRPr="00B55703">
              <w:rPr>
                <w:bCs/>
                <w:u w:val="single"/>
              </w:rPr>
              <w:t>Definition</w:t>
            </w:r>
          </w:p>
        </w:tc>
        <w:tc>
          <w:tcPr>
            <w:tcW w:w="2234" w:type="dxa"/>
          </w:tcPr>
          <w:p w:rsidR="00B55703" w:rsidRPr="00B55703" w:rsidRDefault="00B55703" w:rsidP="004033A9">
            <w:pPr>
              <w:pStyle w:val="EnvelopeReturn"/>
              <w:jc w:val="center"/>
              <w:rPr>
                <w:lang w:val="en-CA"/>
              </w:rPr>
            </w:pPr>
            <w:r w:rsidRPr="00B55703">
              <w:rPr>
                <w:lang w:val="en-CA"/>
              </w:rPr>
              <w:t xml:space="preserve">Grade Point </w:t>
            </w:r>
            <w:r w:rsidRPr="00B55703">
              <w:rPr>
                <w:u w:val="single"/>
                <w:lang w:val="en-CA"/>
              </w:rPr>
              <w:t>Equivalent</w:t>
            </w:r>
          </w:p>
          <w:p w:rsidR="00B55703" w:rsidRPr="00B55703" w:rsidRDefault="00B55703" w:rsidP="004033A9">
            <w:pPr>
              <w:pStyle w:val="EnvelopeReturn"/>
              <w:jc w:val="center"/>
              <w:rPr>
                <w:lang w:val="en-CA"/>
              </w:rPr>
            </w:pPr>
          </w:p>
        </w:tc>
      </w:tr>
      <w:tr w:rsidR="00B55703" w:rsidRPr="00B55703" w:rsidTr="00EC1B45">
        <w:trPr>
          <w:cantSplit/>
        </w:trPr>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A+</w:t>
            </w:r>
          </w:p>
        </w:tc>
        <w:tc>
          <w:tcPr>
            <w:tcW w:w="4678" w:type="dxa"/>
            <w:hideMark/>
          </w:tcPr>
          <w:p w:rsidR="00B55703" w:rsidRPr="00B55703" w:rsidRDefault="00B55703" w:rsidP="00B55703">
            <w:pPr>
              <w:pStyle w:val="EnvelopeReturn"/>
              <w:rPr>
                <w:lang w:val="en-CA"/>
              </w:rPr>
            </w:pPr>
            <w:r w:rsidRPr="00B55703">
              <w:rPr>
                <w:lang w:val="en-CA"/>
              </w:rPr>
              <w:t>90 – 100%</w:t>
            </w:r>
          </w:p>
        </w:tc>
        <w:tc>
          <w:tcPr>
            <w:tcW w:w="2234" w:type="dxa"/>
            <w:vMerge w:val="restart"/>
            <w:vAlign w:val="center"/>
            <w:hideMark/>
          </w:tcPr>
          <w:p w:rsidR="00B55703" w:rsidRPr="00B55703" w:rsidRDefault="00B55703" w:rsidP="00B55703">
            <w:pPr>
              <w:pStyle w:val="EnvelopeReturn"/>
              <w:rPr>
                <w:lang w:val="en-CA"/>
              </w:rPr>
            </w:pPr>
            <w:r w:rsidRPr="00B55703">
              <w:rPr>
                <w:lang w:val="en-CA"/>
              </w:rPr>
              <w:t>4.00</w:t>
            </w:r>
          </w:p>
        </w:tc>
      </w:tr>
      <w:tr w:rsidR="00B55703" w:rsidRPr="00B55703" w:rsidTr="00EC1B45">
        <w:trPr>
          <w:cantSplit/>
        </w:trPr>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A</w:t>
            </w:r>
          </w:p>
        </w:tc>
        <w:tc>
          <w:tcPr>
            <w:tcW w:w="4678" w:type="dxa"/>
            <w:hideMark/>
          </w:tcPr>
          <w:p w:rsidR="00B55703" w:rsidRPr="00B55703" w:rsidRDefault="00B55703" w:rsidP="00B55703">
            <w:pPr>
              <w:pStyle w:val="EnvelopeReturn"/>
              <w:rPr>
                <w:lang w:val="en-CA"/>
              </w:rPr>
            </w:pPr>
            <w:r w:rsidRPr="00B55703">
              <w:rPr>
                <w:lang w:val="en-CA"/>
              </w:rPr>
              <w:t xml:space="preserve">                         80 – 89%</w:t>
            </w:r>
          </w:p>
        </w:tc>
        <w:tc>
          <w:tcPr>
            <w:tcW w:w="2234" w:type="dxa"/>
            <w:vMerge/>
            <w:vAlign w:val="center"/>
            <w:hideMark/>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B</w:t>
            </w:r>
          </w:p>
        </w:tc>
        <w:tc>
          <w:tcPr>
            <w:tcW w:w="4678" w:type="dxa"/>
            <w:hideMark/>
          </w:tcPr>
          <w:p w:rsidR="00B55703" w:rsidRPr="00B55703" w:rsidRDefault="00B55703" w:rsidP="00B55703">
            <w:pPr>
              <w:pStyle w:val="EnvelopeReturn"/>
              <w:rPr>
                <w:lang w:val="en-CA"/>
              </w:rPr>
            </w:pPr>
            <w:r w:rsidRPr="00B55703">
              <w:rPr>
                <w:lang w:val="en-CA"/>
              </w:rPr>
              <w:t>70 - 79%</w:t>
            </w:r>
          </w:p>
        </w:tc>
        <w:tc>
          <w:tcPr>
            <w:tcW w:w="2234" w:type="dxa"/>
            <w:hideMark/>
          </w:tcPr>
          <w:p w:rsidR="00B55703" w:rsidRPr="00B55703" w:rsidRDefault="00B55703" w:rsidP="00B55703">
            <w:pPr>
              <w:pStyle w:val="EnvelopeReturn"/>
              <w:rPr>
                <w:lang w:val="en-CA"/>
              </w:rPr>
            </w:pPr>
            <w:r w:rsidRPr="00B55703">
              <w:rPr>
                <w:lang w:val="en-CA"/>
              </w:rPr>
              <w:t>3.00</w:t>
            </w: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C</w:t>
            </w:r>
          </w:p>
        </w:tc>
        <w:tc>
          <w:tcPr>
            <w:tcW w:w="4678" w:type="dxa"/>
            <w:hideMark/>
          </w:tcPr>
          <w:p w:rsidR="00B55703" w:rsidRPr="00B55703" w:rsidRDefault="00B55703" w:rsidP="00B55703">
            <w:pPr>
              <w:pStyle w:val="EnvelopeReturn"/>
              <w:rPr>
                <w:lang w:val="en-CA"/>
              </w:rPr>
            </w:pPr>
            <w:r w:rsidRPr="00B55703">
              <w:rPr>
                <w:lang w:val="en-CA"/>
              </w:rPr>
              <w:t>60 - 69%</w:t>
            </w:r>
          </w:p>
        </w:tc>
        <w:tc>
          <w:tcPr>
            <w:tcW w:w="2234" w:type="dxa"/>
            <w:hideMark/>
          </w:tcPr>
          <w:p w:rsidR="00B55703" w:rsidRPr="00B55703" w:rsidRDefault="00B55703" w:rsidP="00B55703">
            <w:pPr>
              <w:pStyle w:val="EnvelopeReturn"/>
              <w:rPr>
                <w:lang w:val="en-CA"/>
              </w:rPr>
            </w:pPr>
            <w:r w:rsidRPr="00B55703">
              <w:rPr>
                <w:lang w:val="en-CA"/>
              </w:rPr>
              <w:t>2.00</w:t>
            </w: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D</w:t>
            </w:r>
          </w:p>
        </w:tc>
        <w:tc>
          <w:tcPr>
            <w:tcW w:w="4678" w:type="dxa"/>
            <w:hideMark/>
          </w:tcPr>
          <w:p w:rsidR="00B55703" w:rsidRPr="00B55703" w:rsidRDefault="00B55703" w:rsidP="00B55703">
            <w:pPr>
              <w:pStyle w:val="EnvelopeReturn"/>
              <w:rPr>
                <w:lang w:val="en-CA"/>
              </w:rPr>
            </w:pPr>
            <w:r w:rsidRPr="00B55703">
              <w:rPr>
                <w:lang w:val="en-CA"/>
              </w:rPr>
              <w:t>50 – 59%</w:t>
            </w:r>
          </w:p>
        </w:tc>
        <w:tc>
          <w:tcPr>
            <w:tcW w:w="2234" w:type="dxa"/>
            <w:hideMark/>
          </w:tcPr>
          <w:p w:rsidR="00B55703" w:rsidRPr="00B55703" w:rsidRDefault="00B55703" w:rsidP="00B55703">
            <w:pPr>
              <w:pStyle w:val="EnvelopeReturn"/>
              <w:rPr>
                <w:lang w:val="en-CA"/>
              </w:rPr>
            </w:pPr>
            <w:r w:rsidRPr="00B55703">
              <w:rPr>
                <w:lang w:val="en-CA"/>
              </w:rPr>
              <w:t>1.00</w:t>
            </w: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F (Fail)</w:t>
            </w:r>
          </w:p>
        </w:tc>
        <w:tc>
          <w:tcPr>
            <w:tcW w:w="4678" w:type="dxa"/>
            <w:hideMark/>
          </w:tcPr>
          <w:p w:rsidR="00B55703" w:rsidRPr="00B55703" w:rsidRDefault="00B55703" w:rsidP="00B55703">
            <w:pPr>
              <w:pStyle w:val="EnvelopeReturn"/>
              <w:rPr>
                <w:lang w:val="en-CA"/>
              </w:rPr>
            </w:pPr>
            <w:r w:rsidRPr="00B55703">
              <w:rPr>
                <w:lang w:val="en-CA"/>
              </w:rPr>
              <w:t>49% and below</w:t>
            </w:r>
          </w:p>
        </w:tc>
        <w:tc>
          <w:tcPr>
            <w:tcW w:w="2234" w:type="dxa"/>
            <w:hideMark/>
          </w:tcPr>
          <w:p w:rsidR="00B55703" w:rsidRPr="00B55703" w:rsidRDefault="00B55703" w:rsidP="00B55703">
            <w:pPr>
              <w:pStyle w:val="EnvelopeReturn"/>
              <w:rPr>
                <w:lang w:val="en-CA"/>
              </w:rPr>
            </w:pPr>
            <w:r w:rsidRPr="00B55703">
              <w:rPr>
                <w:lang w:val="en-CA"/>
              </w:rPr>
              <w:t>0.00</w:t>
            </w:r>
          </w:p>
        </w:tc>
      </w:tr>
      <w:tr w:rsidR="00B55703" w:rsidRPr="00B55703" w:rsidTr="00EC1B45">
        <w:tc>
          <w:tcPr>
            <w:tcW w:w="675" w:type="dxa"/>
          </w:tcPr>
          <w:p w:rsidR="00B55703" w:rsidRPr="00B55703" w:rsidRDefault="00B55703" w:rsidP="00B55703">
            <w:pPr>
              <w:pStyle w:val="EnvelopeReturn"/>
              <w:rPr>
                <w:lang w:val="en-CA"/>
              </w:rPr>
            </w:pPr>
          </w:p>
        </w:tc>
        <w:tc>
          <w:tcPr>
            <w:tcW w:w="1701" w:type="dxa"/>
          </w:tcPr>
          <w:p w:rsidR="00B55703" w:rsidRPr="00B55703" w:rsidRDefault="00B55703" w:rsidP="00B55703">
            <w:pPr>
              <w:pStyle w:val="EnvelopeReturn"/>
              <w:rPr>
                <w:lang w:val="en-CA"/>
              </w:rPr>
            </w:pPr>
          </w:p>
        </w:tc>
        <w:tc>
          <w:tcPr>
            <w:tcW w:w="4678" w:type="dxa"/>
          </w:tcPr>
          <w:p w:rsidR="00B55703" w:rsidRPr="00B55703" w:rsidRDefault="00B55703" w:rsidP="00B55703">
            <w:pPr>
              <w:pStyle w:val="EnvelopeReturn"/>
              <w:rPr>
                <w:lang w:val="en-CA"/>
              </w:rPr>
            </w:pP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CR (Credit)</w:t>
            </w:r>
          </w:p>
        </w:tc>
        <w:tc>
          <w:tcPr>
            <w:tcW w:w="4678" w:type="dxa"/>
            <w:hideMark/>
          </w:tcPr>
          <w:p w:rsidR="00B55703" w:rsidRPr="00B55703" w:rsidRDefault="00B55703" w:rsidP="00B55703">
            <w:pPr>
              <w:pStyle w:val="EnvelopeReturn"/>
              <w:rPr>
                <w:lang w:val="en-CA"/>
              </w:rPr>
            </w:pPr>
            <w:r w:rsidRPr="00B55703">
              <w:rPr>
                <w:lang w:val="en-CA"/>
              </w:rPr>
              <w:t>Credit for diploma requirements has been awarded.</w:t>
            </w: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S</w:t>
            </w:r>
          </w:p>
        </w:tc>
        <w:tc>
          <w:tcPr>
            <w:tcW w:w="4678" w:type="dxa"/>
            <w:hideMark/>
          </w:tcPr>
          <w:p w:rsidR="00B55703" w:rsidRPr="00B55703" w:rsidRDefault="00B55703" w:rsidP="00B55703">
            <w:pPr>
              <w:pStyle w:val="EnvelopeReturn"/>
              <w:rPr>
                <w:lang w:val="en-CA"/>
              </w:rPr>
            </w:pPr>
            <w:r w:rsidRPr="00B55703">
              <w:rPr>
                <w:lang w:val="en-CA"/>
              </w:rPr>
              <w:t>Satisfactory achievement in field /clinical placement or non-graded subject area.</w:t>
            </w: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U</w:t>
            </w:r>
          </w:p>
        </w:tc>
        <w:tc>
          <w:tcPr>
            <w:tcW w:w="4678" w:type="dxa"/>
            <w:hideMark/>
          </w:tcPr>
          <w:p w:rsidR="00B55703" w:rsidRPr="00B55703" w:rsidRDefault="00B55703" w:rsidP="00B55703">
            <w:pPr>
              <w:pStyle w:val="EnvelopeReturn"/>
              <w:rPr>
                <w:lang w:val="en-CA"/>
              </w:rPr>
            </w:pPr>
            <w:r w:rsidRPr="00B55703">
              <w:rPr>
                <w:lang w:val="en-CA"/>
              </w:rPr>
              <w:t>Unsatisfactory achievement in field/clinical placement or non-graded subject area.</w:t>
            </w: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X</w:t>
            </w:r>
          </w:p>
        </w:tc>
        <w:tc>
          <w:tcPr>
            <w:tcW w:w="4678" w:type="dxa"/>
            <w:hideMark/>
          </w:tcPr>
          <w:p w:rsidR="00B55703" w:rsidRPr="00B55703" w:rsidRDefault="00B55703" w:rsidP="00B55703">
            <w:pPr>
              <w:pStyle w:val="EnvelopeReturn"/>
              <w:rPr>
                <w:lang w:val="en-CA"/>
              </w:rPr>
            </w:pPr>
            <w:r w:rsidRPr="00B55703">
              <w:rPr>
                <w:lang w:val="en-CA"/>
              </w:rPr>
              <w:t>A temporary grade limited to situations with extenuating circumstances giving a student additional time to complete the requirements for a course.</w:t>
            </w: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NR</w:t>
            </w:r>
          </w:p>
        </w:tc>
        <w:tc>
          <w:tcPr>
            <w:tcW w:w="4678" w:type="dxa"/>
            <w:hideMark/>
          </w:tcPr>
          <w:p w:rsidR="00B55703" w:rsidRPr="00B55703" w:rsidRDefault="00B55703" w:rsidP="00B55703">
            <w:pPr>
              <w:pStyle w:val="EnvelopeReturn"/>
              <w:rPr>
                <w:lang w:val="en-CA"/>
              </w:rPr>
            </w:pPr>
            <w:r w:rsidRPr="00B55703">
              <w:rPr>
                <w:lang w:val="en-CA"/>
              </w:rPr>
              <w:t xml:space="preserve">Grade not reported to Registrar's office.  </w:t>
            </w: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hideMark/>
          </w:tcPr>
          <w:p w:rsidR="00B55703" w:rsidRPr="00B55703" w:rsidRDefault="00B55703" w:rsidP="00B55703">
            <w:pPr>
              <w:pStyle w:val="EnvelopeReturn"/>
              <w:rPr>
                <w:lang w:val="en-CA"/>
              </w:rPr>
            </w:pPr>
            <w:r w:rsidRPr="00B55703">
              <w:rPr>
                <w:lang w:val="en-CA"/>
              </w:rPr>
              <w:t>W</w:t>
            </w:r>
          </w:p>
        </w:tc>
        <w:tc>
          <w:tcPr>
            <w:tcW w:w="4678" w:type="dxa"/>
            <w:hideMark/>
          </w:tcPr>
          <w:p w:rsidR="00B55703" w:rsidRPr="00B55703" w:rsidRDefault="00B55703" w:rsidP="00B55703">
            <w:pPr>
              <w:pStyle w:val="EnvelopeReturn"/>
              <w:rPr>
                <w:lang w:val="en-CA"/>
              </w:rPr>
            </w:pPr>
            <w:r w:rsidRPr="00B55703">
              <w:rPr>
                <w:lang w:val="en-CA"/>
              </w:rPr>
              <w:t>Student has withdrawn from the course without academic penalty.</w:t>
            </w:r>
          </w:p>
        </w:tc>
        <w:tc>
          <w:tcPr>
            <w:tcW w:w="2234" w:type="dxa"/>
          </w:tcPr>
          <w:p w:rsidR="00B55703" w:rsidRPr="00B55703" w:rsidRDefault="00B55703" w:rsidP="00B55703">
            <w:pPr>
              <w:pStyle w:val="EnvelopeReturn"/>
              <w:rPr>
                <w:lang w:val="en-CA"/>
              </w:rPr>
            </w:pPr>
          </w:p>
        </w:tc>
      </w:tr>
      <w:tr w:rsidR="00B55703" w:rsidRPr="00B55703" w:rsidTr="00EC1B45">
        <w:tc>
          <w:tcPr>
            <w:tcW w:w="675" w:type="dxa"/>
          </w:tcPr>
          <w:p w:rsidR="00B55703" w:rsidRPr="00B55703" w:rsidRDefault="00B55703" w:rsidP="00B55703">
            <w:pPr>
              <w:pStyle w:val="EnvelopeReturn"/>
              <w:rPr>
                <w:lang w:val="en-CA"/>
              </w:rPr>
            </w:pPr>
          </w:p>
        </w:tc>
        <w:tc>
          <w:tcPr>
            <w:tcW w:w="1701" w:type="dxa"/>
          </w:tcPr>
          <w:p w:rsidR="00B55703" w:rsidRPr="00B55703" w:rsidRDefault="00B55703" w:rsidP="00B55703">
            <w:pPr>
              <w:pStyle w:val="EnvelopeReturn"/>
              <w:rPr>
                <w:lang w:val="en-CA"/>
              </w:rPr>
            </w:pPr>
          </w:p>
        </w:tc>
        <w:tc>
          <w:tcPr>
            <w:tcW w:w="4678" w:type="dxa"/>
          </w:tcPr>
          <w:p w:rsidR="00B55703" w:rsidRPr="00B55703" w:rsidRDefault="00B55703" w:rsidP="00B55703">
            <w:pPr>
              <w:pStyle w:val="EnvelopeReturn"/>
              <w:rPr>
                <w:lang w:val="en-CA"/>
              </w:rPr>
            </w:pPr>
          </w:p>
        </w:tc>
        <w:tc>
          <w:tcPr>
            <w:tcW w:w="2234" w:type="dxa"/>
          </w:tcPr>
          <w:p w:rsidR="00B55703" w:rsidRPr="00B55703" w:rsidRDefault="00B55703" w:rsidP="00B55703">
            <w:pPr>
              <w:pStyle w:val="EnvelopeReturn"/>
              <w:rPr>
                <w:lang w:val="en-CA"/>
              </w:rPr>
            </w:pPr>
          </w:p>
        </w:tc>
      </w:tr>
      <w:tr w:rsidR="00B55703" w:rsidRPr="00B55703" w:rsidTr="00EC1B45">
        <w:trPr>
          <w:cantSplit/>
        </w:trPr>
        <w:tc>
          <w:tcPr>
            <w:tcW w:w="675" w:type="dxa"/>
          </w:tcPr>
          <w:p w:rsidR="00B55703" w:rsidRPr="00B55703" w:rsidRDefault="00B55703" w:rsidP="00B55703">
            <w:pPr>
              <w:pStyle w:val="EnvelopeReturn"/>
              <w:rPr>
                <w:lang w:val="en-CA"/>
              </w:rPr>
            </w:pPr>
          </w:p>
        </w:tc>
        <w:tc>
          <w:tcPr>
            <w:tcW w:w="8613" w:type="dxa"/>
            <w:gridSpan w:val="3"/>
          </w:tcPr>
          <w:p w:rsidR="00B55703" w:rsidRPr="00B55703" w:rsidRDefault="00B55703" w:rsidP="00B55703">
            <w:pPr>
              <w:pStyle w:val="EnvelopeReturn"/>
              <w:rPr>
                <w:lang w:val="en-CA"/>
              </w:rPr>
            </w:pPr>
            <w:r w:rsidRPr="00B55703">
              <w:rPr>
                <w:b/>
                <w:bCs/>
                <w:lang w:val="en-CA"/>
              </w:rPr>
              <w:t xml:space="preserve">Note:  </w:t>
            </w:r>
            <w:r w:rsidRPr="00B55703">
              <w:rPr>
                <w:lang w:val="en-CA"/>
              </w:rPr>
              <w:t>For such reasons as program certification or program articulation, certain courses require minimums of greater than 50% and/or have mandatory components to achieve a passing grade.</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It is also important to note, that the minimum overall GPA required in order </w:t>
            </w:r>
            <w:proofErr w:type="gramStart"/>
            <w:r w:rsidRPr="00B55703">
              <w:rPr>
                <w:lang w:val="en-CA"/>
              </w:rPr>
              <w:t>to graduate</w:t>
            </w:r>
            <w:proofErr w:type="gramEnd"/>
            <w:r w:rsidRPr="00B55703">
              <w:rPr>
                <w:lang w:val="en-CA"/>
              </w:rPr>
              <w:t xml:space="preserve"> from a </w:t>
            </w:r>
            <w:smartTag w:uri="urn:schemas-microsoft-com:office:smarttags" w:element="place">
              <w:smartTag w:uri="urn:schemas-microsoft-com:office:smarttags" w:element="PlaceName">
                <w:r w:rsidRPr="00B55703">
                  <w:rPr>
                    <w:lang w:val="en-CA"/>
                  </w:rPr>
                  <w:t>Sault</w:t>
                </w:r>
              </w:smartTag>
              <w:r w:rsidRPr="00B55703">
                <w:rPr>
                  <w:lang w:val="en-CA"/>
                </w:rPr>
                <w:t xml:space="preserve"> </w:t>
              </w:r>
              <w:smartTag w:uri="urn:schemas-microsoft-com:office:smarttags" w:element="PlaceType">
                <w:r w:rsidRPr="00B55703">
                  <w:rPr>
                    <w:lang w:val="en-CA"/>
                  </w:rPr>
                  <w:t>College</w:t>
                </w:r>
              </w:smartTag>
            </w:smartTag>
            <w:r w:rsidRPr="00B55703">
              <w:rPr>
                <w:lang w:val="en-CA"/>
              </w:rPr>
              <w:t xml:space="preserve"> program remains 2.0.</w:t>
            </w:r>
          </w:p>
        </w:tc>
      </w:tr>
    </w:tbl>
    <w:p w:rsidR="00B55703" w:rsidRDefault="00B55703" w:rsidP="00B55703">
      <w:pPr>
        <w:pStyle w:val="EnvelopeReturn"/>
        <w:rPr>
          <w:bCs/>
          <w:lang w:val="en-CA"/>
        </w:rPr>
      </w:pPr>
    </w:p>
    <w:p w:rsidR="004033A9" w:rsidRPr="00B55703" w:rsidRDefault="004033A9" w:rsidP="00B55703">
      <w:pPr>
        <w:pStyle w:val="EnvelopeReturn"/>
        <w:rPr>
          <w:bCs/>
          <w:lang w:val="en-CA"/>
        </w:rPr>
      </w:pPr>
    </w:p>
    <w:tbl>
      <w:tblPr>
        <w:tblW w:w="9990" w:type="dxa"/>
        <w:tblInd w:w="18" w:type="dxa"/>
        <w:tblLayout w:type="fixed"/>
        <w:tblLook w:val="04A0"/>
      </w:tblPr>
      <w:tblGrid>
        <w:gridCol w:w="630"/>
        <w:gridCol w:w="9360"/>
      </w:tblGrid>
      <w:tr w:rsidR="00B55703" w:rsidRPr="00B55703" w:rsidTr="004033A9">
        <w:trPr>
          <w:cantSplit/>
        </w:trPr>
        <w:tc>
          <w:tcPr>
            <w:tcW w:w="630" w:type="dxa"/>
            <w:hideMark/>
          </w:tcPr>
          <w:p w:rsidR="005A66BD" w:rsidRPr="00B55703" w:rsidRDefault="00B55703" w:rsidP="00B55703">
            <w:pPr>
              <w:pStyle w:val="EnvelopeReturn"/>
              <w:rPr>
                <w:b/>
                <w:bCs/>
                <w:lang w:val="en-CA"/>
              </w:rPr>
            </w:pPr>
            <w:r w:rsidRPr="00B55703">
              <w:rPr>
                <w:b/>
                <w:bCs/>
                <w:lang w:val="en-CA"/>
              </w:rPr>
              <w:t>VI.</w:t>
            </w:r>
          </w:p>
        </w:tc>
        <w:tc>
          <w:tcPr>
            <w:tcW w:w="9360" w:type="dxa"/>
          </w:tcPr>
          <w:p w:rsidR="00B55703" w:rsidRPr="00B55703" w:rsidRDefault="00B55703" w:rsidP="00B55703">
            <w:pPr>
              <w:pStyle w:val="EnvelopeReturn"/>
              <w:rPr>
                <w:b/>
                <w:bCs/>
                <w:lang w:val="en-CA"/>
              </w:rPr>
            </w:pPr>
            <w:r w:rsidRPr="00B55703">
              <w:rPr>
                <w:b/>
                <w:bCs/>
                <w:lang w:val="en-CA"/>
              </w:rPr>
              <w:t>SPECIAL NOTES</w:t>
            </w:r>
          </w:p>
          <w:p w:rsidR="00B55703" w:rsidRPr="00B55703" w:rsidRDefault="00B55703" w:rsidP="00B55703">
            <w:pPr>
              <w:pStyle w:val="EnvelopeReturn"/>
              <w:rPr>
                <w:lang w:val="en-CA"/>
              </w:rPr>
            </w:pPr>
          </w:p>
        </w:tc>
      </w:tr>
      <w:tr w:rsidR="00B55703" w:rsidRPr="00B55703" w:rsidTr="004033A9">
        <w:trPr>
          <w:cantSplit/>
        </w:trPr>
        <w:tc>
          <w:tcPr>
            <w:tcW w:w="630" w:type="dxa"/>
          </w:tcPr>
          <w:p w:rsidR="00B55703" w:rsidRPr="00B55703" w:rsidRDefault="00B55703" w:rsidP="00B55703">
            <w:pPr>
              <w:pStyle w:val="EnvelopeReturn"/>
              <w:rPr>
                <w:lang w:val="en-CA"/>
              </w:rPr>
            </w:pPr>
          </w:p>
        </w:tc>
        <w:tc>
          <w:tcPr>
            <w:tcW w:w="9360" w:type="dxa"/>
          </w:tcPr>
          <w:p w:rsidR="00B55703" w:rsidRPr="00B55703" w:rsidRDefault="00B55703" w:rsidP="00B55703">
            <w:pPr>
              <w:pStyle w:val="EnvelopeReturn"/>
              <w:rPr>
                <w:lang w:val="en-CA"/>
              </w:rPr>
            </w:pPr>
            <w:r w:rsidRPr="00B55703">
              <w:rPr>
                <w:u w:val="single"/>
                <w:lang w:val="en-CA"/>
              </w:rPr>
              <w:t>Disability Services</w:t>
            </w:r>
            <w:r w:rsidRPr="00B55703">
              <w:rPr>
                <w:lang w:val="en-CA"/>
              </w:rPr>
              <w:t>:</w:t>
            </w:r>
          </w:p>
          <w:p w:rsidR="00B55703" w:rsidRPr="00B55703" w:rsidRDefault="00B55703" w:rsidP="00B55703">
            <w:pPr>
              <w:pStyle w:val="EnvelopeReturn"/>
              <w:rPr>
                <w:lang w:val="en-CA"/>
              </w:rPr>
            </w:pPr>
            <w:r w:rsidRPr="00B55703">
              <w:rPr>
                <w:lang w:val="en-CA"/>
              </w:rPr>
              <w:t>If you are a student with special needs (e.g. physical limitations, visual impairments, hearing impairments, or learning disabilities), you are encouraged to discuss required accommodations with your instructor and/or the Disability Services office so that support services can be arranged for you.</w:t>
            </w:r>
          </w:p>
          <w:p w:rsidR="00B55703" w:rsidRPr="00B55703" w:rsidRDefault="00B55703" w:rsidP="00B55703">
            <w:pPr>
              <w:pStyle w:val="EnvelopeReturn"/>
              <w:rPr>
                <w:lang w:val="en-CA"/>
              </w:rPr>
            </w:pPr>
          </w:p>
        </w:tc>
      </w:tr>
    </w:tbl>
    <w:p w:rsidR="004033A9" w:rsidRDefault="004033A9"/>
    <w:p w:rsidR="004033A9" w:rsidRDefault="004033A9">
      <w:r>
        <w:br w:type="page"/>
      </w:r>
    </w:p>
    <w:p w:rsidR="004033A9" w:rsidRDefault="004033A9"/>
    <w:tbl>
      <w:tblPr>
        <w:tblW w:w="10008" w:type="dxa"/>
        <w:tblLayout w:type="fixed"/>
        <w:tblLook w:val="04A0"/>
      </w:tblPr>
      <w:tblGrid>
        <w:gridCol w:w="18"/>
        <w:gridCol w:w="630"/>
        <w:gridCol w:w="9351"/>
        <w:gridCol w:w="9"/>
      </w:tblGrid>
      <w:tr w:rsidR="00B55703" w:rsidRPr="00B55703" w:rsidTr="004033A9">
        <w:trPr>
          <w:gridBefore w:val="1"/>
          <w:wBefore w:w="18" w:type="dxa"/>
          <w:cantSplit/>
        </w:trPr>
        <w:tc>
          <w:tcPr>
            <w:tcW w:w="630" w:type="dxa"/>
          </w:tcPr>
          <w:p w:rsidR="00B55703" w:rsidRPr="00B55703" w:rsidRDefault="00B55703" w:rsidP="00B55703">
            <w:pPr>
              <w:pStyle w:val="EnvelopeReturn"/>
              <w:rPr>
                <w:lang w:val="en-CA"/>
              </w:rPr>
            </w:pPr>
          </w:p>
        </w:tc>
        <w:tc>
          <w:tcPr>
            <w:tcW w:w="9360" w:type="dxa"/>
            <w:gridSpan w:val="2"/>
          </w:tcPr>
          <w:p w:rsidR="00B55703" w:rsidRPr="00B55703" w:rsidRDefault="00B55703" w:rsidP="00B55703">
            <w:pPr>
              <w:pStyle w:val="EnvelopeReturn"/>
              <w:rPr>
                <w:lang w:val="en-CA"/>
              </w:rPr>
            </w:pPr>
            <w:r w:rsidRPr="00B55703">
              <w:rPr>
                <w:u w:val="single"/>
                <w:lang w:val="en-CA"/>
              </w:rPr>
              <w:t>Retention of course outlines</w:t>
            </w:r>
            <w:r w:rsidRPr="00B55703">
              <w:rPr>
                <w:lang w:val="en-CA"/>
              </w:rPr>
              <w:t>:</w:t>
            </w:r>
          </w:p>
          <w:p w:rsidR="00B55703" w:rsidRPr="00B55703" w:rsidRDefault="00B55703" w:rsidP="00B55703">
            <w:pPr>
              <w:pStyle w:val="EnvelopeReturn"/>
              <w:rPr>
                <w:lang w:val="en-CA"/>
              </w:rPr>
            </w:pPr>
            <w:r w:rsidRPr="00B55703">
              <w:rPr>
                <w:lang w:val="en-CA"/>
              </w:rPr>
              <w:t>It is the responsibility of the student to retain all course outlines for possible future use in acquiring advanced standing at other post-secondary institutions.</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u w:val="single"/>
                <w:lang w:val="en-CA"/>
              </w:rPr>
              <w:t xml:space="preserve">Guidelines for Effective classrooms: </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6"/>
              </w:numPr>
              <w:rPr>
                <w:lang w:val="en-CA"/>
              </w:rPr>
            </w:pPr>
            <w:r w:rsidRPr="00B55703">
              <w:rPr>
                <w:u w:val="single"/>
                <w:lang w:val="en-CA"/>
              </w:rPr>
              <w:t>Listening skills</w:t>
            </w:r>
            <w:r w:rsidRPr="00B55703">
              <w:rPr>
                <w:lang w:val="en-CA"/>
              </w:rPr>
              <w:t>: Demonstrate respect for each person who is talking by listening to them without interruption. There will be zero tolerance for interruptions, carrying on conversations while others are talking, or disrespectful interactions between class members. Individuals may be asked to leave the classroom in such circumstances, and will not be allowed back into the class until the issue has been discussed and has been satisfactorily addressed to the professor’s satisfaction.</w:t>
            </w:r>
          </w:p>
          <w:p w:rsidR="00B55703" w:rsidRPr="00B55703" w:rsidRDefault="00B55703" w:rsidP="00EC1D2A">
            <w:pPr>
              <w:pStyle w:val="EnvelopeReturn"/>
              <w:numPr>
                <w:ilvl w:val="0"/>
                <w:numId w:val="16"/>
              </w:numPr>
              <w:rPr>
                <w:lang w:val="en-CA"/>
              </w:rPr>
            </w:pPr>
            <w:r w:rsidRPr="00B55703">
              <w:rPr>
                <w:u w:val="single"/>
                <w:lang w:val="en-CA"/>
              </w:rPr>
              <w:t>Eating/drinking</w:t>
            </w:r>
            <w:r w:rsidRPr="00B55703">
              <w:rPr>
                <w:lang w:val="en-CA"/>
              </w:rPr>
              <w:t>. Beverages allowed. Preference that eating occur during break periods, but will be allowed in class as long as it is not disruptive to others and all food/containers disposed of after class. If this is not followed, privileges will be revoked.</w:t>
            </w:r>
          </w:p>
          <w:p w:rsidR="00B55703" w:rsidRPr="00B55703" w:rsidRDefault="00B55703" w:rsidP="00EC1D2A">
            <w:pPr>
              <w:pStyle w:val="EnvelopeReturn"/>
              <w:numPr>
                <w:ilvl w:val="0"/>
                <w:numId w:val="16"/>
              </w:numPr>
              <w:rPr>
                <w:lang w:val="en-CA"/>
              </w:rPr>
            </w:pPr>
            <w:r w:rsidRPr="00B55703">
              <w:rPr>
                <w:u w:val="single"/>
                <w:lang w:val="en-CA"/>
              </w:rPr>
              <w:t>Cell phones in class.</w:t>
            </w:r>
            <w:r w:rsidRPr="00B55703">
              <w:rPr>
                <w:lang w:val="en-CA"/>
              </w:rPr>
              <w:t xml:space="preserve"> Ensure that your phone is off or on vibrate if absolutely required. Under no circumstances should cell phones be on or be used in class for text messaging. </w:t>
            </w:r>
          </w:p>
          <w:p w:rsidR="00B55703" w:rsidRPr="00B55703" w:rsidRDefault="00B55703" w:rsidP="00EC1D2A">
            <w:pPr>
              <w:pStyle w:val="EnvelopeReturn"/>
              <w:numPr>
                <w:ilvl w:val="0"/>
                <w:numId w:val="16"/>
              </w:numPr>
              <w:rPr>
                <w:lang w:val="en-CA"/>
              </w:rPr>
            </w:pPr>
            <w:r w:rsidRPr="00B55703">
              <w:rPr>
                <w:u w:val="single"/>
                <w:lang w:val="en-CA"/>
              </w:rPr>
              <w:t>Late arrivals</w:t>
            </w:r>
            <w:r w:rsidRPr="00B55703">
              <w:rPr>
                <w:lang w:val="en-CA"/>
              </w:rPr>
              <w:t>: Promptness at the beginning of class and when returning from breaks will allow class to start and stop on time. A pattern of arriving late will be addressed by the faculty. Students are requested to wait until the break in class to enter if they arrive late The professor reserves the right to deny access to the class when a student is consistently late until the issue has been satisfactorily addressed to the professor’s satisfaction</w:t>
            </w:r>
          </w:p>
          <w:p w:rsidR="005A66BD" w:rsidRPr="00B55703" w:rsidRDefault="00B55703" w:rsidP="00EC1D2A">
            <w:pPr>
              <w:pStyle w:val="EnvelopeReturn"/>
              <w:numPr>
                <w:ilvl w:val="0"/>
                <w:numId w:val="16"/>
              </w:numPr>
              <w:rPr>
                <w:lang w:val="en-CA"/>
              </w:rPr>
            </w:pPr>
            <w:r w:rsidRPr="00B55703">
              <w:rPr>
                <w:u w:val="single"/>
                <w:lang w:val="en-CA"/>
              </w:rPr>
              <w:t>Laptop use in classrooms</w:t>
            </w:r>
            <w:r w:rsidRPr="00B55703">
              <w:rPr>
                <w:lang w:val="en-CA"/>
              </w:rPr>
              <w:t>: Laptops are to be used for classroom related purposes. Students will be asked to refrain from their use if found to be using for other purposes.</w:t>
            </w:r>
          </w:p>
        </w:tc>
      </w:tr>
      <w:tr w:rsidR="00B55703" w:rsidRPr="00B55703" w:rsidTr="004033A9">
        <w:trPr>
          <w:gridAfter w:val="1"/>
          <w:wAfter w:w="9" w:type="dxa"/>
          <w:cantSplit/>
        </w:trPr>
        <w:tc>
          <w:tcPr>
            <w:tcW w:w="648" w:type="dxa"/>
            <w:gridSpan w:val="2"/>
          </w:tcPr>
          <w:p w:rsidR="00B55703" w:rsidRPr="00B55703" w:rsidRDefault="00B55703" w:rsidP="00B55703">
            <w:pPr>
              <w:pStyle w:val="EnvelopeReturn"/>
              <w:rPr>
                <w:lang w:val="en-CA"/>
              </w:rPr>
            </w:pPr>
          </w:p>
        </w:tc>
        <w:tc>
          <w:tcPr>
            <w:tcW w:w="9351" w:type="dxa"/>
          </w:tcPr>
          <w:p w:rsidR="00B55703" w:rsidRPr="00B55703" w:rsidRDefault="00B55703" w:rsidP="00B55703">
            <w:pPr>
              <w:pStyle w:val="EnvelopeReturn"/>
              <w:rPr>
                <w:u w:val="single"/>
                <w:lang w:val="en-CA"/>
              </w:rPr>
            </w:pPr>
          </w:p>
          <w:p w:rsidR="00B55703" w:rsidRPr="00B55703" w:rsidRDefault="00B55703" w:rsidP="00B55703">
            <w:pPr>
              <w:pStyle w:val="EnvelopeReturn"/>
              <w:rPr>
                <w:lang w:val="en-CA"/>
              </w:rPr>
            </w:pPr>
            <w:r w:rsidRPr="00B55703">
              <w:rPr>
                <w:u w:val="single"/>
                <w:lang w:val="en-CA"/>
              </w:rPr>
              <w:t>Plagiarism</w:t>
            </w:r>
            <w:r w:rsidRPr="00B55703">
              <w:rPr>
                <w:lang w:val="en-CA"/>
              </w:rPr>
              <w:t>:</w:t>
            </w:r>
          </w:p>
          <w:p w:rsidR="00B55703" w:rsidRPr="00B55703" w:rsidRDefault="00B55703" w:rsidP="00B55703">
            <w:pPr>
              <w:pStyle w:val="EnvelopeReturn"/>
              <w:rPr>
                <w:lang w:val="en-CA"/>
              </w:rPr>
            </w:pPr>
          </w:p>
          <w:p w:rsidR="00B55703" w:rsidRPr="00B55703" w:rsidRDefault="00B55703" w:rsidP="00B55703">
            <w:pPr>
              <w:pStyle w:val="EnvelopeReturn"/>
              <w:rPr>
                <w:lang w:val="en-CA"/>
              </w:rPr>
            </w:pPr>
            <w:r w:rsidRPr="00B55703">
              <w:rPr>
                <w:lang w:val="en-CA"/>
              </w:rPr>
              <w:t xml:space="preserve">Students should refer to the definition of “academic dishonesty” in the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w:t>
            </w:r>
            <w:proofErr w:type="spellStart"/>
            <w:r w:rsidRPr="00B55703">
              <w:rPr>
                <w:lang w:val="en-CA"/>
              </w:rPr>
              <w:t>APA</w:t>
            </w:r>
            <w:proofErr w:type="spellEnd"/>
            <w:r w:rsidRPr="00B55703">
              <w:rPr>
                <w:lang w:val="en-CA"/>
              </w:rPr>
              <w:t xml:space="preserve"> format as a documentation format for referencing source material.</w:t>
            </w:r>
          </w:p>
        </w:tc>
      </w:tr>
      <w:tr w:rsidR="00B55703" w:rsidRPr="00B55703" w:rsidTr="004033A9">
        <w:trPr>
          <w:gridAfter w:val="1"/>
          <w:wAfter w:w="9" w:type="dxa"/>
          <w:cantSplit/>
        </w:trPr>
        <w:tc>
          <w:tcPr>
            <w:tcW w:w="648" w:type="dxa"/>
            <w:gridSpan w:val="2"/>
          </w:tcPr>
          <w:p w:rsidR="00B55703" w:rsidRPr="00B55703" w:rsidRDefault="00B55703" w:rsidP="00B55703">
            <w:pPr>
              <w:pStyle w:val="EnvelopeReturn"/>
              <w:rPr>
                <w:lang w:val="en-CA"/>
              </w:rPr>
            </w:pPr>
          </w:p>
        </w:tc>
        <w:tc>
          <w:tcPr>
            <w:tcW w:w="9351" w:type="dxa"/>
          </w:tcPr>
          <w:p w:rsidR="00B55703" w:rsidRPr="00B55703" w:rsidRDefault="00B55703" w:rsidP="00B55703">
            <w:pPr>
              <w:pStyle w:val="EnvelopeReturn"/>
              <w:rPr>
                <w:u w:val="single"/>
                <w:lang w:val="en-CA"/>
              </w:rPr>
            </w:pPr>
          </w:p>
          <w:p w:rsidR="00B55703" w:rsidRPr="00B55703" w:rsidRDefault="00B55703" w:rsidP="00B55703">
            <w:pPr>
              <w:pStyle w:val="EnvelopeReturn"/>
              <w:rPr>
                <w:lang w:val="en-CA"/>
              </w:rPr>
            </w:pPr>
            <w:r w:rsidRPr="00B55703">
              <w:rPr>
                <w:u w:val="single"/>
                <w:lang w:val="en-CA"/>
              </w:rPr>
              <w:t>Course outline amendments</w:t>
            </w:r>
            <w:r w:rsidRPr="00B55703">
              <w:rPr>
                <w:lang w:val="en-CA"/>
              </w:rPr>
              <w:t>:</w:t>
            </w:r>
          </w:p>
          <w:p w:rsidR="00B55703" w:rsidRPr="00B55703" w:rsidRDefault="00B55703" w:rsidP="00B55703">
            <w:pPr>
              <w:pStyle w:val="EnvelopeReturn"/>
              <w:rPr>
                <w:lang w:val="en-CA"/>
              </w:rPr>
            </w:pPr>
            <w:r w:rsidRPr="00B55703">
              <w:rPr>
                <w:lang w:val="en-CA"/>
              </w:rPr>
              <w:t>The professor reserves the right to change the information contained in this course outline depending on the needs of the class/learner and the availability of resources.</w:t>
            </w:r>
          </w:p>
          <w:p w:rsidR="00B55703" w:rsidRPr="00B55703" w:rsidRDefault="00B55703" w:rsidP="00B55703">
            <w:pPr>
              <w:pStyle w:val="EnvelopeReturn"/>
              <w:rPr>
                <w:lang w:val="en-CA"/>
              </w:rPr>
            </w:pPr>
          </w:p>
        </w:tc>
      </w:tr>
      <w:tr w:rsidR="00B55703" w:rsidRPr="00B55703" w:rsidTr="004033A9">
        <w:trPr>
          <w:gridAfter w:val="1"/>
          <w:wAfter w:w="9" w:type="dxa"/>
          <w:cantSplit/>
        </w:trPr>
        <w:tc>
          <w:tcPr>
            <w:tcW w:w="648" w:type="dxa"/>
            <w:gridSpan w:val="2"/>
          </w:tcPr>
          <w:p w:rsidR="00B55703" w:rsidRPr="00B55703" w:rsidRDefault="00B55703" w:rsidP="00B55703">
            <w:pPr>
              <w:pStyle w:val="EnvelopeReturn"/>
              <w:rPr>
                <w:lang w:val="en-CA"/>
              </w:rPr>
            </w:pPr>
          </w:p>
        </w:tc>
        <w:tc>
          <w:tcPr>
            <w:tcW w:w="9351" w:type="dxa"/>
          </w:tcPr>
          <w:p w:rsidR="00B55703" w:rsidRPr="00B55703" w:rsidRDefault="00B55703" w:rsidP="00B55703">
            <w:pPr>
              <w:pStyle w:val="EnvelopeReturn"/>
              <w:rPr>
                <w:lang w:val="en-CA"/>
              </w:rPr>
            </w:pPr>
            <w:r w:rsidRPr="00B55703">
              <w:rPr>
                <w:lang w:val="en-CA"/>
              </w:rPr>
              <w:t>Substitute course information is available in the Registrar's office.</w:t>
            </w:r>
          </w:p>
          <w:p w:rsidR="00B55703" w:rsidRPr="00B55703" w:rsidRDefault="00B55703" w:rsidP="00B55703">
            <w:pPr>
              <w:pStyle w:val="EnvelopeReturn"/>
              <w:rPr>
                <w:lang w:val="en-CA"/>
              </w:rPr>
            </w:pPr>
          </w:p>
        </w:tc>
      </w:tr>
    </w:tbl>
    <w:p w:rsidR="004033A9" w:rsidRDefault="004033A9"/>
    <w:p w:rsidR="004033A9" w:rsidRDefault="004033A9">
      <w:r>
        <w:br w:type="page"/>
      </w:r>
    </w:p>
    <w:p w:rsidR="004033A9" w:rsidRDefault="004033A9"/>
    <w:tbl>
      <w:tblPr>
        <w:tblW w:w="9918" w:type="dxa"/>
        <w:tblLayout w:type="fixed"/>
        <w:tblLook w:val="04A0"/>
      </w:tblPr>
      <w:tblGrid>
        <w:gridCol w:w="648"/>
        <w:gridCol w:w="9270"/>
      </w:tblGrid>
      <w:tr w:rsidR="00B55703" w:rsidRPr="00B55703" w:rsidTr="004033A9">
        <w:trPr>
          <w:cantSplit/>
        </w:trPr>
        <w:tc>
          <w:tcPr>
            <w:tcW w:w="648" w:type="dxa"/>
            <w:hideMark/>
          </w:tcPr>
          <w:p w:rsidR="00B55703" w:rsidRPr="00B55703" w:rsidRDefault="00B55703" w:rsidP="00B55703">
            <w:pPr>
              <w:pStyle w:val="EnvelopeReturn"/>
              <w:rPr>
                <w:b/>
                <w:bCs/>
                <w:lang w:val="en-CA"/>
              </w:rPr>
            </w:pPr>
            <w:r w:rsidRPr="00B55703">
              <w:rPr>
                <w:b/>
                <w:bCs/>
                <w:lang w:val="en-CA"/>
              </w:rPr>
              <w:t>VII.</w:t>
            </w:r>
          </w:p>
        </w:tc>
        <w:tc>
          <w:tcPr>
            <w:tcW w:w="9270" w:type="dxa"/>
          </w:tcPr>
          <w:p w:rsidR="00B55703" w:rsidRPr="00B55703" w:rsidRDefault="00B55703" w:rsidP="00B55703">
            <w:pPr>
              <w:pStyle w:val="EnvelopeReturn"/>
              <w:rPr>
                <w:b/>
                <w:bCs/>
                <w:lang w:val="en-CA"/>
              </w:rPr>
            </w:pPr>
            <w:r w:rsidRPr="00B55703">
              <w:rPr>
                <w:b/>
                <w:bCs/>
                <w:lang w:val="en-CA"/>
              </w:rPr>
              <w:t>PRIOR LEARNING ASSESSMENT</w:t>
            </w:r>
          </w:p>
          <w:p w:rsidR="00B55703" w:rsidRPr="00B55703" w:rsidRDefault="00B55703" w:rsidP="00B55703">
            <w:pPr>
              <w:pStyle w:val="EnvelopeReturn"/>
              <w:rPr>
                <w:lang w:val="en-CA"/>
              </w:rPr>
            </w:pPr>
          </w:p>
          <w:p w:rsidR="00B55703" w:rsidRPr="00B55703" w:rsidRDefault="00B55703" w:rsidP="004033A9">
            <w:pPr>
              <w:pStyle w:val="EnvelopeReturn"/>
              <w:rPr>
                <w:lang w:val="en-CA"/>
              </w:rPr>
            </w:pPr>
            <w:r w:rsidRPr="00B55703">
              <w:rPr>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004033A9">
              <w:rPr>
                <w:lang w:val="en-CA"/>
              </w:rPr>
              <w:t xml:space="preserve">  </w:t>
            </w:r>
            <w:r w:rsidRPr="00B55703">
              <w:rPr>
                <w:lang w:val="en-CA"/>
              </w:rPr>
              <w:t>Credit for prior learning will also be given upon successful completion of a challenge exam or portfolio.</w:t>
            </w:r>
          </w:p>
        </w:tc>
      </w:tr>
    </w:tbl>
    <w:p w:rsidR="00B55703" w:rsidRPr="00B55703" w:rsidRDefault="00B55703" w:rsidP="00B55703">
      <w:pPr>
        <w:pStyle w:val="EnvelopeReturn"/>
      </w:pPr>
    </w:p>
    <w:p w:rsidR="00B55703" w:rsidRPr="00B55703" w:rsidRDefault="00B55703" w:rsidP="00B55703">
      <w:pPr>
        <w:pStyle w:val="EnvelopeReturn"/>
        <w:rPr>
          <w:b/>
          <w:bCs/>
          <w:lang w:val="en-CA"/>
        </w:rPr>
      </w:pPr>
      <w:r w:rsidRPr="00B55703">
        <w:rPr>
          <w:b/>
          <w:bCs/>
          <w:lang w:val="en-CA"/>
        </w:rPr>
        <w:t xml:space="preserve">Other Requirements:  </w:t>
      </w:r>
    </w:p>
    <w:p w:rsidR="00B55703" w:rsidRPr="00B55703" w:rsidRDefault="00B55703" w:rsidP="00B55703">
      <w:pPr>
        <w:pStyle w:val="EnvelopeReturn"/>
        <w:rPr>
          <w:b/>
          <w:bCs/>
          <w:lang w:val="en-CA"/>
        </w:rPr>
      </w:pPr>
    </w:p>
    <w:p w:rsidR="00B55703" w:rsidRPr="00B55703" w:rsidRDefault="00B55703" w:rsidP="00B55703">
      <w:pPr>
        <w:pStyle w:val="EnvelopeReturn"/>
        <w:rPr>
          <w:b/>
          <w:bCs/>
          <w:lang w:val="en-CA"/>
        </w:rPr>
      </w:pPr>
      <w:r w:rsidRPr="00B55703">
        <w:rPr>
          <w:b/>
          <w:bCs/>
          <w:lang w:val="en-CA"/>
        </w:rPr>
        <w:t xml:space="preserve">(I)   Assignments: </w:t>
      </w:r>
    </w:p>
    <w:p w:rsidR="00B55703" w:rsidRPr="00B55703" w:rsidRDefault="00B55703" w:rsidP="00B55703">
      <w:pPr>
        <w:pStyle w:val="EnvelopeReturn"/>
        <w:rPr>
          <w:b/>
          <w:bCs/>
          <w:lang w:val="en-CA"/>
        </w:rPr>
      </w:pPr>
    </w:p>
    <w:p w:rsidR="00B55703" w:rsidRPr="00B55703" w:rsidRDefault="00B55703" w:rsidP="00EC1D2A">
      <w:pPr>
        <w:pStyle w:val="EnvelopeReturn"/>
        <w:numPr>
          <w:ilvl w:val="0"/>
          <w:numId w:val="17"/>
        </w:numPr>
        <w:rPr>
          <w:lang w:val="en-CA"/>
        </w:rPr>
      </w:pPr>
      <w:r w:rsidRPr="00B55703">
        <w:rPr>
          <w:lang w:val="en-CA"/>
        </w:rPr>
        <w:t xml:space="preserve">Unless otherwise indicated, all submissions must be in word processing format and follow </w:t>
      </w:r>
      <w:proofErr w:type="spellStart"/>
      <w:r w:rsidRPr="00B55703">
        <w:rPr>
          <w:lang w:val="en-CA"/>
        </w:rPr>
        <w:t>APA</w:t>
      </w:r>
      <w:proofErr w:type="spellEnd"/>
      <w:r w:rsidRPr="00B55703">
        <w:rPr>
          <w:lang w:val="en-CA"/>
        </w:rPr>
        <w:t xml:space="preserve"> guidelines. Students are expected to be familiar with and abide by the College’s “Student Code of Conduct” policies.</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7"/>
        </w:numPr>
        <w:rPr>
          <w:b/>
          <w:lang w:val="en-CA"/>
        </w:rPr>
      </w:pPr>
      <w:r w:rsidRPr="00B55703">
        <w:rPr>
          <w:b/>
          <w:lang w:val="en-CA"/>
        </w:rPr>
        <w:t xml:space="preserve">Late assignments: </w:t>
      </w:r>
    </w:p>
    <w:p w:rsidR="00B55703" w:rsidRPr="00B55703" w:rsidRDefault="00B55703" w:rsidP="00EC1D2A">
      <w:pPr>
        <w:pStyle w:val="EnvelopeReturn"/>
        <w:numPr>
          <w:ilvl w:val="1"/>
          <w:numId w:val="17"/>
        </w:numPr>
        <w:rPr>
          <w:lang w:val="en-CA"/>
        </w:rPr>
      </w:pPr>
      <w:r w:rsidRPr="00B55703">
        <w:rPr>
          <w:lang w:val="en-CA"/>
        </w:rPr>
        <w:t xml:space="preserve">Punctual completion of assignments is required. All assignments are provided with due dates well in advance. </w:t>
      </w:r>
    </w:p>
    <w:p w:rsidR="00B55703" w:rsidRPr="00B55703" w:rsidRDefault="00B55703" w:rsidP="00EC1D2A">
      <w:pPr>
        <w:pStyle w:val="EnvelopeReturn"/>
        <w:numPr>
          <w:ilvl w:val="1"/>
          <w:numId w:val="17"/>
        </w:numPr>
        <w:rPr>
          <w:lang w:val="en-CA"/>
        </w:rPr>
      </w:pPr>
      <w:r w:rsidRPr="00B55703">
        <w:rPr>
          <w:lang w:val="en-CA"/>
        </w:rPr>
        <w:t>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w:t>
      </w:r>
    </w:p>
    <w:p w:rsidR="00B55703" w:rsidRPr="00B55703" w:rsidRDefault="00B55703" w:rsidP="00EC1D2A">
      <w:pPr>
        <w:pStyle w:val="EnvelopeReturn"/>
        <w:numPr>
          <w:ilvl w:val="1"/>
          <w:numId w:val="17"/>
        </w:numPr>
        <w:rPr>
          <w:lang w:val="en-CA"/>
        </w:rPr>
      </w:pPr>
      <w:r w:rsidRPr="00B55703">
        <w:rPr>
          <w:lang w:val="en-CA"/>
        </w:rPr>
        <w:t xml:space="preserve">Late assignments will not be accepted after one week following the due date unless the student has arranged an extension with the professor ahead of time. </w:t>
      </w:r>
    </w:p>
    <w:p w:rsidR="00B55703" w:rsidRPr="00B55703" w:rsidRDefault="00B55703" w:rsidP="00EC1D2A">
      <w:pPr>
        <w:pStyle w:val="EnvelopeReturn"/>
        <w:numPr>
          <w:ilvl w:val="1"/>
          <w:numId w:val="17"/>
        </w:numPr>
        <w:rPr>
          <w:lang w:val="en-CA"/>
        </w:rPr>
      </w:pPr>
      <w:r w:rsidRPr="00B55703">
        <w:rPr>
          <w:lang w:val="en-CA"/>
        </w:rPr>
        <w:t xml:space="preserve"> Any requests for assignment extensions must be done </w:t>
      </w:r>
      <w:r w:rsidRPr="00B55703">
        <w:rPr>
          <w:u w:val="single"/>
          <w:lang w:val="en-CA"/>
        </w:rPr>
        <w:t>in writing</w:t>
      </w:r>
      <w:r w:rsidRPr="00B55703">
        <w:rPr>
          <w:lang w:val="en-CA"/>
        </w:rPr>
        <w:t xml:space="preserve"> through email. Include in the request the assignment that you are referring to, the reason for the extension request, and the time required. </w:t>
      </w:r>
      <w:r w:rsidRPr="00B55703">
        <w:rPr>
          <w:bCs/>
          <w:lang w:val="en-CA"/>
        </w:rPr>
        <w:t>The student should expect a return email from the Professor to confirm that their assignment has been received. If a response is not received, they are to assume that the request was not received by the Professor.</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7"/>
        </w:numPr>
        <w:rPr>
          <w:b/>
          <w:lang w:val="en-CA"/>
        </w:rPr>
      </w:pPr>
      <w:r w:rsidRPr="00B55703">
        <w:rPr>
          <w:b/>
          <w:bCs/>
          <w:lang w:val="en-CA"/>
        </w:rPr>
        <w:t xml:space="preserve">Email submission of assignments: </w:t>
      </w:r>
    </w:p>
    <w:p w:rsidR="00B55703" w:rsidRPr="00B55703" w:rsidRDefault="00B55703" w:rsidP="00EC1D2A">
      <w:pPr>
        <w:pStyle w:val="EnvelopeReturn"/>
        <w:numPr>
          <w:ilvl w:val="0"/>
          <w:numId w:val="18"/>
        </w:numPr>
        <w:rPr>
          <w:lang w:val="en-CA"/>
        </w:rPr>
      </w:pPr>
      <w:r w:rsidRPr="00B55703">
        <w:rPr>
          <w:bCs/>
          <w:lang w:val="en-CA"/>
        </w:rPr>
        <w:t xml:space="preserve">In circumstances where the student is unable, </w:t>
      </w:r>
      <w:r w:rsidRPr="00B55703">
        <w:rPr>
          <w:b/>
          <w:bCs/>
          <w:lang w:val="en-CA"/>
        </w:rPr>
        <w:t>for substantial reason</w:t>
      </w:r>
      <w:r w:rsidRPr="00B55703">
        <w:rPr>
          <w:bCs/>
          <w:lang w:val="en-CA"/>
        </w:rPr>
        <w:t xml:space="preserve">, to attend class when an assignment is due, the student may email the professor by the time that the assignment is due to inform them of this, and request permission to submit the assignment by email. </w:t>
      </w:r>
    </w:p>
    <w:p w:rsidR="00B55703" w:rsidRPr="004033A9" w:rsidRDefault="00B55703" w:rsidP="00EC1D2A">
      <w:pPr>
        <w:pStyle w:val="EnvelopeReturn"/>
        <w:numPr>
          <w:ilvl w:val="0"/>
          <w:numId w:val="18"/>
        </w:numPr>
        <w:rPr>
          <w:lang w:val="en-CA"/>
        </w:rPr>
      </w:pPr>
      <w:r w:rsidRPr="00B55703">
        <w:rPr>
          <w:bCs/>
          <w:lang w:val="en-CA"/>
        </w:rPr>
        <w:t>The date that the assignment is received will be considered by the Professor as the submission date and time. If received after the start of a class, it will be considered as late.</w:t>
      </w:r>
    </w:p>
    <w:p w:rsidR="004033A9" w:rsidRPr="004033A9" w:rsidRDefault="00B55703" w:rsidP="004033A9">
      <w:pPr>
        <w:pStyle w:val="EnvelopeReturn"/>
        <w:numPr>
          <w:ilvl w:val="0"/>
          <w:numId w:val="18"/>
        </w:numPr>
        <w:rPr>
          <w:bCs/>
          <w:lang w:val="en-CA"/>
        </w:rPr>
      </w:pPr>
      <w:r w:rsidRPr="004033A9">
        <w:rPr>
          <w:bCs/>
          <w:lang w:val="en-CA"/>
        </w:rPr>
        <w:t xml:space="preserve">The student should expect a return email from the Professor to confirm that their assignment has been received. If a response is not received, they are to assume that the assignment was not received by the Professor. </w:t>
      </w:r>
      <w:r w:rsidR="004033A9" w:rsidRPr="004033A9">
        <w:rPr>
          <w:bCs/>
          <w:lang w:val="en-CA"/>
        </w:rPr>
        <w:br w:type="page"/>
      </w:r>
    </w:p>
    <w:p w:rsidR="00B55703" w:rsidRPr="00B55703" w:rsidRDefault="00B55703" w:rsidP="004033A9">
      <w:pPr>
        <w:pStyle w:val="EnvelopeReturn"/>
        <w:ind w:left="360"/>
        <w:rPr>
          <w:lang w:val="en-CA"/>
        </w:rPr>
      </w:pPr>
    </w:p>
    <w:p w:rsidR="00B55703" w:rsidRPr="00B55703" w:rsidRDefault="00B55703" w:rsidP="00EC1D2A">
      <w:pPr>
        <w:pStyle w:val="EnvelopeReturn"/>
        <w:numPr>
          <w:ilvl w:val="0"/>
          <w:numId w:val="18"/>
        </w:numPr>
        <w:rPr>
          <w:lang w:val="en-CA"/>
        </w:rPr>
      </w:pPr>
      <w:r w:rsidRPr="00B55703">
        <w:rPr>
          <w:lang w:val="en-CA"/>
        </w:rPr>
        <w:t xml:space="preserve">It is the student’s responsibility to keep a copy of the email and the response. </w:t>
      </w:r>
      <w:r w:rsidRPr="00B55703">
        <w:rPr>
          <w:bCs/>
          <w:lang w:val="en-CA"/>
        </w:rPr>
        <w:t>A hard copy of the assignment must be submitted for marking at a mutually agreed upon date (the email copy will not be marked).</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7"/>
        </w:numPr>
        <w:rPr>
          <w:b/>
          <w:bCs/>
          <w:lang w:val="en-CA"/>
        </w:rPr>
      </w:pPr>
      <w:r w:rsidRPr="00B55703">
        <w:rPr>
          <w:b/>
          <w:bCs/>
          <w:lang w:val="en-CA"/>
        </w:rPr>
        <w:t xml:space="preserve">Written assignments: </w:t>
      </w:r>
    </w:p>
    <w:p w:rsidR="00B55703" w:rsidRPr="00B55703" w:rsidRDefault="00B55703" w:rsidP="00B55703">
      <w:pPr>
        <w:pStyle w:val="EnvelopeReturn"/>
        <w:rPr>
          <w:lang w:val="en-CA"/>
        </w:rPr>
      </w:pPr>
    </w:p>
    <w:p w:rsidR="00B55703" w:rsidRPr="00B55703" w:rsidRDefault="00B55703" w:rsidP="00EC1D2A">
      <w:pPr>
        <w:pStyle w:val="EnvelopeReturn"/>
        <w:numPr>
          <w:ilvl w:val="0"/>
          <w:numId w:val="19"/>
        </w:numPr>
        <w:rPr>
          <w:lang w:val="en-CA"/>
        </w:rPr>
      </w:pPr>
      <w:r w:rsidRPr="00B55703">
        <w:rPr>
          <w:bCs/>
          <w:lang w:val="en-CA"/>
        </w:rPr>
        <w:t xml:space="preserve">Feedback will be provided on all written work. If there is evidence that the </w:t>
      </w:r>
      <w:r w:rsidRPr="00B55703">
        <w:rPr>
          <w:bCs/>
          <w:lang w:val="en-CA"/>
        </w:rPr>
        <w:tab/>
        <w:t xml:space="preserve">feedback is not being incorporated into subsequent assignments, the assignment may be returned unmarked until the work has been revised based on faculty feedback and returned by the negotiated due date. A </w:t>
      </w:r>
    </w:p>
    <w:p w:rsidR="00B55703" w:rsidRPr="00B55703" w:rsidRDefault="00B55703" w:rsidP="00B55703">
      <w:pPr>
        <w:pStyle w:val="EnvelopeReturn"/>
        <w:rPr>
          <w:lang w:val="en-CA"/>
        </w:rPr>
      </w:pPr>
      <w:r w:rsidRPr="00B55703">
        <w:rPr>
          <w:bCs/>
          <w:lang w:val="en-CA"/>
        </w:rPr>
        <w:t xml:space="preserve">      </w:t>
      </w:r>
      <w:proofErr w:type="gramStart"/>
      <w:r w:rsidRPr="00B55703">
        <w:rPr>
          <w:bCs/>
          <w:lang w:val="en-CA"/>
        </w:rPr>
        <w:t>reduction</w:t>
      </w:r>
      <w:proofErr w:type="gramEnd"/>
      <w:r w:rsidRPr="00B55703">
        <w:rPr>
          <w:bCs/>
          <w:lang w:val="en-CA"/>
        </w:rPr>
        <w:t xml:space="preserve"> of marks will occur when this is required. </w:t>
      </w:r>
    </w:p>
    <w:p w:rsidR="00B55703" w:rsidRPr="00B55703" w:rsidRDefault="00B55703" w:rsidP="00EC1D2A">
      <w:pPr>
        <w:pStyle w:val="EnvelopeReturn"/>
        <w:numPr>
          <w:ilvl w:val="0"/>
          <w:numId w:val="19"/>
        </w:numPr>
        <w:rPr>
          <w:lang w:val="en-CA"/>
        </w:rPr>
      </w:pPr>
      <w:r w:rsidRPr="00B55703">
        <w:rPr>
          <w:lang w:val="en-CA"/>
        </w:rPr>
        <w:t xml:space="preserve">Assignments completed with significant (more than 5-10) writing errors or </w:t>
      </w:r>
      <w:r w:rsidRPr="00B55703">
        <w:rPr>
          <w:lang w:val="en-CA"/>
        </w:rPr>
        <w:tab/>
        <w:t xml:space="preserve">non-compliance with </w:t>
      </w:r>
      <w:proofErr w:type="spellStart"/>
      <w:r w:rsidRPr="00B55703">
        <w:rPr>
          <w:lang w:val="en-CA"/>
        </w:rPr>
        <w:t>APA</w:t>
      </w:r>
      <w:proofErr w:type="spellEnd"/>
      <w:r w:rsidRPr="00B55703">
        <w:rPr>
          <w:lang w:val="en-CA"/>
        </w:rPr>
        <w:t xml:space="preserve"> standards (where required by the assignment) will not be graded. </w:t>
      </w:r>
      <w:r w:rsidRPr="00B55703">
        <w:rPr>
          <w:lang w:val="en-CA"/>
        </w:rPr>
        <w:tab/>
        <w:t xml:space="preserve">Students will be provided one week to re-submit in accordance with SSW professional writing requirements, and the grade will be reduced by 20%. </w:t>
      </w:r>
      <w:r w:rsidRPr="00B55703">
        <w:rPr>
          <w:bCs/>
          <w:lang w:val="en-CA"/>
        </w:rPr>
        <w:t xml:space="preserve">Students are encouraged to use the information provided in their tutoring sessions and to seek out additional assistance from the Learning Specialist if required. </w:t>
      </w:r>
    </w:p>
    <w:p w:rsidR="00B55703" w:rsidRPr="00B55703" w:rsidRDefault="00B55703" w:rsidP="00B55703">
      <w:pPr>
        <w:pStyle w:val="EnvelopeReturn"/>
        <w:rPr>
          <w:b/>
          <w:lang w:val="en-CA"/>
        </w:rPr>
      </w:pPr>
      <w:r w:rsidRPr="00B55703">
        <w:rPr>
          <w:bCs/>
          <w:lang w:val="en-CA"/>
        </w:rPr>
        <w:t xml:space="preserve">      </w:t>
      </w:r>
    </w:p>
    <w:p w:rsidR="00B55703" w:rsidRPr="00B55703" w:rsidRDefault="00B55703" w:rsidP="00B55703">
      <w:pPr>
        <w:pStyle w:val="EnvelopeReturn"/>
        <w:rPr>
          <w:b/>
          <w:lang w:val="en-CA"/>
        </w:rPr>
      </w:pPr>
      <w:r w:rsidRPr="00B55703">
        <w:rPr>
          <w:b/>
          <w:lang w:val="en-CA"/>
        </w:rPr>
        <w:t xml:space="preserve">(II)  Exams, tests, quizzes: </w:t>
      </w:r>
    </w:p>
    <w:p w:rsidR="00B55703" w:rsidRPr="00B55703" w:rsidRDefault="00B55703" w:rsidP="00B55703">
      <w:pPr>
        <w:pStyle w:val="EnvelopeReturn"/>
        <w:rPr>
          <w:b/>
          <w:bCs/>
          <w:u w:val="single"/>
          <w:lang w:val="en-CA"/>
        </w:rPr>
      </w:pPr>
    </w:p>
    <w:p w:rsidR="00B55703" w:rsidRPr="00B55703" w:rsidRDefault="00B55703" w:rsidP="00EC1D2A">
      <w:pPr>
        <w:pStyle w:val="EnvelopeReturn"/>
        <w:numPr>
          <w:ilvl w:val="0"/>
          <w:numId w:val="20"/>
        </w:numPr>
        <w:rPr>
          <w:b/>
          <w:bCs/>
          <w:u w:val="single"/>
          <w:lang w:val="en-CA"/>
        </w:rPr>
      </w:pPr>
      <w:r w:rsidRPr="00B55703">
        <w:rPr>
          <w:lang w:val="en-CA"/>
        </w:rPr>
        <w:t xml:space="preserve">Students who miss any in-class graded exercise/test without prior approval of the instructor and based on exceptional circumstances will be given a zero for that evaluation method. </w:t>
      </w:r>
    </w:p>
    <w:p w:rsidR="00B55703" w:rsidRPr="00B55703" w:rsidRDefault="00B55703" w:rsidP="00EC1D2A">
      <w:pPr>
        <w:pStyle w:val="EnvelopeReturn"/>
        <w:numPr>
          <w:ilvl w:val="0"/>
          <w:numId w:val="20"/>
        </w:numPr>
        <w:rPr>
          <w:b/>
          <w:bCs/>
          <w:u w:val="single"/>
          <w:lang w:val="en-CA"/>
        </w:rPr>
      </w:pPr>
      <w:r w:rsidRPr="00B55703">
        <w:rPr>
          <w:lang w:val="en-CA"/>
        </w:rPr>
        <w:t xml:space="preserve">The professor reserves the right to determine if a student who has missed an in-class assignment/test will be allowed to make other arrangements for writing it. </w:t>
      </w:r>
    </w:p>
    <w:p w:rsidR="00B55703" w:rsidRPr="00B55703" w:rsidRDefault="00B55703" w:rsidP="00EC1D2A">
      <w:pPr>
        <w:pStyle w:val="EnvelopeReturn"/>
        <w:numPr>
          <w:ilvl w:val="0"/>
          <w:numId w:val="20"/>
        </w:numPr>
        <w:rPr>
          <w:b/>
          <w:bCs/>
          <w:u w:val="single"/>
          <w:lang w:val="en-CA"/>
        </w:rPr>
      </w:pPr>
      <w:r w:rsidRPr="00B55703">
        <w:rPr>
          <w:lang w:val="en-CA"/>
        </w:rPr>
        <w:t>Tests/exams cannot be re-written to receive a higher grade.</w:t>
      </w:r>
    </w:p>
    <w:p w:rsidR="00B55703" w:rsidRPr="00B55703" w:rsidRDefault="00B55703" w:rsidP="00B55703">
      <w:pPr>
        <w:pStyle w:val="EnvelopeReturn"/>
        <w:rPr>
          <w:b/>
          <w:bCs/>
          <w:u w:val="single"/>
          <w:lang w:val="en-CA"/>
        </w:rPr>
      </w:pPr>
    </w:p>
    <w:p w:rsidR="00B55703" w:rsidRPr="00B55703" w:rsidRDefault="00B55703" w:rsidP="00B55703">
      <w:pPr>
        <w:pStyle w:val="EnvelopeReturn"/>
        <w:rPr>
          <w:b/>
          <w:lang w:val="en-CA"/>
        </w:rPr>
      </w:pPr>
      <w:r w:rsidRPr="00B55703">
        <w:rPr>
          <w:b/>
          <w:lang w:val="en-CA"/>
        </w:rPr>
        <w:t xml:space="preserve">(III) Attendance and participation: </w:t>
      </w:r>
    </w:p>
    <w:p w:rsidR="00B55703" w:rsidRPr="00B55703" w:rsidRDefault="00B55703" w:rsidP="00B55703">
      <w:pPr>
        <w:pStyle w:val="EnvelopeReturn"/>
        <w:rPr>
          <w:b/>
          <w:lang w:val="en-CA"/>
        </w:rPr>
      </w:pPr>
    </w:p>
    <w:p w:rsidR="00B55703" w:rsidRPr="00B55703" w:rsidRDefault="00B55703" w:rsidP="00B55703">
      <w:pPr>
        <w:pStyle w:val="EnvelopeReturn"/>
        <w:rPr>
          <w:lang w:val="en-CA"/>
        </w:rPr>
      </w:pPr>
      <w:r w:rsidRPr="00B55703">
        <w:rPr>
          <w:lang w:val="en-CA"/>
        </w:rPr>
        <w:t>Students are expected to come prepared to class to participate in discussion and review of course material. The professor reserves the right to assign a failing grade if more than 40% of class time has been missed for reasons other than substantiated medical reasons.</w:t>
      </w:r>
    </w:p>
    <w:p w:rsidR="00B55703" w:rsidRPr="00B55703" w:rsidRDefault="00B55703" w:rsidP="00B55703">
      <w:pPr>
        <w:pStyle w:val="EnvelopeReturn"/>
        <w:rPr>
          <w:lang w:val="en-CA"/>
        </w:rPr>
      </w:pPr>
    </w:p>
    <w:p w:rsidR="00B55703" w:rsidRPr="00B55703" w:rsidRDefault="00B55703" w:rsidP="00B55703">
      <w:pPr>
        <w:pStyle w:val="EnvelopeReturn"/>
        <w:rPr>
          <w:b/>
          <w:lang w:val="en-CA"/>
        </w:rPr>
      </w:pPr>
      <w:r w:rsidRPr="00B55703">
        <w:rPr>
          <w:b/>
          <w:lang w:val="en-CA"/>
        </w:rPr>
        <w:t xml:space="preserve">(IV) Student Support: </w:t>
      </w:r>
    </w:p>
    <w:p w:rsidR="00B55703" w:rsidRPr="00B55703" w:rsidRDefault="00B55703" w:rsidP="00B55703">
      <w:pPr>
        <w:pStyle w:val="EnvelopeReturn"/>
        <w:rPr>
          <w:b/>
          <w:lang w:val="en-CA"/>
        </w:rPr>
      </w:pPr>
    </w:p>
    <w:p w:rsidR="00B55703" w:rsidRPr="00B55703" w:rsidRDefault="00B55703" w:rsidP="00B55703">
      <w:pPr>
        <w:pStyle w:val="EnvelopeReturn"/>
        <w:rPr>
          <w:b/>
          <w:bCs/>
          <w:u w:val="single"/>
          <w:lang w:val="en-CA"/>
        </w:rPr>
      </w:pPr>
      <w:r w:rsidRPr="00B55703">
        <w:rPr>
          <w:lang w:val="en-CA"/>
        </w:rPr>
        <w:t xml:space="preserve">Students are encouraged to discuss their learning needs and assignments with the Professor. If a student has a particular concern about the grade of a particular assignment they may email the professor and request an appointment to discuss their concerns. To prepare for the meeting, students are expected to come prepared by taking the </w:t>
      </w:r>
      <w:r w:rsidRPr="00B55703">
        <w:rPr>
          <w:bCs/>
          <w:lang w:val="en-CA"/>
        </w:rPr>
        <w:t xml:space="preserve">time to thoroughly read the feedback provided by the professor, and will be prepared to discuss their specific questions and/or comments. A student has the right to appeal the </w:t>
      </w:r>
      <w:r w:rsidRPr="00B55703">
        <w:rPr>
          <w:bCs/>
          <w:u w:val="single"/>
          <w:lang w:val="en-CA"/>
        </w:rPr>
        <w:t>final grade</w:t>
      </w:r>
      <w:r w:rsidRPr="00B55703">
        <w:rPr>
          <w:bCs/>
          <w:lang w:val="en-CA"/>
        </w:rPr>
        <w:t xml:space="preserve"> of a course, and should refer to the </w:t>
      </w:r>
      <w:r w:rsidRPr="00B55703">
        <w:rPr>
          <w:bCs/>
          <w:i/>
          <w:lang w:val="en-CA"/>
        </w:rPr>
        <w:t>Appeals Process</w:t>
      </w:r>
      <w:r w:rsidRPr="00B55703">
        <w:rPr>
          <w:bCs/>
          <w:lang w:val="en-CA"/>
        </w:rPr>
        <w:t xml:space="preserve"> for further details. </w:t>
      </w:r>
    </w:p>
    <w:p w:rsidR="00B55703" w:rsidRPr="00B55703" w:rsidRDefault="00B55703" w:rsidP="00B55703">
      <w:pPr>
        <w:pStyle w:val="EnvelopeReturn"/>
        <w:rPr>
          <w:b/>
          <w:bCs/>
          <w:u w:val="single"/>
          <w:lang w:val="en-CA"/>
        </w:rPr>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C1D2A">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C1D2A">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C1D2A">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C1D2A">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C1D2A">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C1D2A">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C1D2A">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C1D2A">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C1D2A">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C1D2A">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C1D2A">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C1D2A">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C1D2A">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C1D2A">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D2A" w:rsidRDefault="00EC1D2A">
      <w:r>
        <w:separator/>
      </w:r>
    </w:p>
  </w:endnote>
  <w:endnote w:type="continuationSeparator" w:id="1">
    <w:p w:rsidR="00EC1D2A" w:rsidRDefault="00EC1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D2A" w:rsidRDefault="00EC1D2A">
      <w:r>
        <w:separator/>
      </w:r>
    </w:p>
  </w:footnote>
  <w:footnote w:type="continuationSeparator" w:id="1">
    <w:p w:rsidR="00EC1D2A" w:rsidRDefault="00EC1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206276">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EC1B45" w:rsidRDefault="00EC1B45">
          <w:pPr>
            <w:pStyle w:val="Header"/>
            <w:rPr>
              <w:rFonts w:ascii="Arial" w:hAnsi="Arial" w:cs="Arial"/>
              <w:snapToGrid w:val="0"/>
              <w:sz w:val="22"/>
              <w:szCs w:val="22"/>
            </w:rPr>
          </w:pPr>
          <w:r w:rsidRPr="00EC1B45">
            <w:rPr>
              <w:rFonts w:ascii="Arial" w:hAnsi="Arial" w:cs="Arial"/>
              <w:sz w:val="22"/>
              <w:szCs w:val="22"/>
            </w:rPr>
            <w:t>Social Service Work with the Elderly</w:t>
          </w:r>
        </w:p>
      </w:tc>
      <w:tc>
        <w:tcPr>
          <w:tcW w:w="2952" w:type="dxa"/>
        </w:tcPr>
        <w:p w:rsidR="000A47AC" w:rsidRPr="00EC1B45" w:rsidRDefault="00206276" w:rsidP="000A47AC">
          <w:pPr>
            <w:pStyle w:val="Header"/>
            <w:jc w:val="center"/>
            <w:rPr>
              <w:rFonts w:ascii="Arial" w:hAnsi="Arial" w:cs="Arial"/>
              <w:snapToGrid w:val="0"/>
              <w:sz w:val="22"/>
              <w:szCs w:val="22"/>
            </w:rPr>
          </w:pPr>
          <w:r w:rsidRPr="00EC1B45">
            <w:rPr>
              <w:rFonts w:ascii="Arial" w:hAnsi="Arial" w:cs="Arial"/>
              <w:snapToGrid w:val="0"/>
              <w:sz w:val="22"/>
              <w:szCs w:val="22"/>
            </w:rPr>
            <w:fldChar w:fldCharType="begin"/>
          </w:r>
          <w:r w:rsidR="000A47AC" w:rsidRPr="00EC1B45">
            <w:rPr>
              <w:rFonts w:ascii="Arial" w:hAnsi="Arial" w:cs="Arial"/>
              <w:snapToGrid w:val="0"/>
              <w:sz w:val="22"/>
              <w:szCs w:val="22"/>
            </w:rPr>
            <w:instrText xml:space="preserve"> PAGE   \* MERGEFORMAT </w:instrText>
          </w:r>
          <w:r w:rsidRPr="00EC1B45">
            <w:rPr>
              <w:rFonts w:ascii="Arial" w:hAnsi="Arial" w:cs="Arial"/>
              <w:snapToGrid w:val="0"/>
              <w:sz w:val="22"/>
              <w:szCs w:val="22"/>
            </w:rPr>
            <w:fldChar w:fldCharType="separate"/>
          </w:r>
          <w:r w:rsidR="006A7955">
            <w:rPr>
              <w:rFonts w:ascii="Arial" w:hAnsi="Arial" w:cs="Arial"/>
              <w:noProof/>
              <w:snapToGrid w:val="0"/>
              <w:sz w:val="22"/>
              <w:szCs w:val="22"/>
            </w:rPr>
            <w:t>10</w:t>
          </w:r>
          <w:r w:rsidRPr="00EC1B45">
            <w:rPr>
              <w:rFonts w:ascii="Arial" w:hAnsi="Arial" w:cs="Arial"/>
              <w:snapToGrid w:val="0"/>
              <w:sz w:val="22"/>
              <w:szCs w:val="22"/>
            </w:rPr>
            <w:fldChar w:fldCharType="end"/>
          </w:r>
        </w:p>
      </w:tc>
      <w:tc>
        <w:tcPr>
          <w:tcW w:w="2952" w:type="dxa"/>
        </w:tcPr>
        <w:p w:rsidR="000A47AC" w:rsidRPr="00EC1B45" w:rsidRDefault="00EC1B45" w:rsidP="0004156F">
          <w:pPr>
            <w:pStyle w:val="Header"/>
            <w:jc w:val="right"/>
            <w:rPr>
              <w:rFonts w:ascii="Arial" w:hAnsi="Arial" w:cs="Arial"/>
              <w:snapToGrid w:val="0"/>
              <w:sz w:val="22"/>
              <w:szCs w:val="22"/>
            </w:rPr>
          </w:pPr>
          <w:r w:rsidRPr="00EC1B45">
            <w:rPr>
              <w:rFonts w:ascii="Arial" w:hAnsi="Arial" w:cs="Arial"/>
              <w:sz w:val="22"/>
              <w:szCs w:val="22"/>
            </w:rPr>
            <w:t>SSW 0201</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23367BDE"/>
    <w:multiLevelType w:val="hybridMultilevel"/>
    <w:tmpl w:val="7BF874B4"/>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3">
    <w:nsid w:val="2ABD5538"/>
    <w:multiLevelType w:val="hybridMultilevel"/>
    <w:tmpl w:val="B23C231C"/>
    <w:lvl w:ilvl="0" w:tplc="C7BCEAB4">
      <w:start w:val="1"/>
      <w:numFmt w:val="lowerLetter"/>
      <w:lvlText w:val="%1."/>
      <w:lvlJc w:val="left"/>
      <w:pPr>
        <w:tabs>
          <w:tab w:val="num" w:pos="2160"/>
        </w:tabs>
        <w:ind w:left="2160" w:hanging="720"/>
      </w:pPr>
    </w:lvl>
    <w:lvl w:ilvl="1" w:tplc="31329D6E">
      <w:start w:val="7"/>
      <w:numFmt w:val="decimal"/>
      <w:lvlText w:val="%2."/>
      <w:lvlJc w:val="left"/>
      <w:pPr>
        <w:tabs>
          <w:tab w:val="num" w:pos="2880"/>
        </w:tabs>
        <w:ind w:left="288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5">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7">
    <w:nsid w:val="489127E1"/>
    <w:multiLevelType w:val="hybridMultilevel"/>
    <w:tmpl w:val="943EA2E2"/>
    <w:lvl w:ilvl="0" w:tplc="C7BCEAB4">
      <w:start w:val="1"/>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97A152F"/>
    <w:multiLevelType w:val="hybridMultilevel"/>
    <w:tmpl w:val="AF32A76A"/>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577201"/>
    <w:multiLevelType w:val="hybridMultilevel"/>
    <w:tmpl w:val="01B83DC0"/>
    <w:lvl w:ilvl="0" w:tplc="B3484C6C">
      <w:start w:val="7"/>
      <w:numFmt w:val="decimal"/>
      <w:lvlText w:val="%1."/>
      <w:lvlJc w:val="left"/>
      <w:pPr>
        <w:tabs>
          <w:tab w:val="num" w:pos="1440"/>
        </w:tabs>
        <w:ind w:left="1440" w:hanging="720"/>
      </w:pPr>
    </w:lvl>
    <w:lvl w:ilvl="1" w:tplc="3BEC14F4">
      <w:start w:val="1"/>
      <w:numFmt w:val="lowerLetter"/>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0F7F0E"/>
    <w:multiLevelType w:val="hybridMultilevel"/>
    <w:tmpl w:val="847ADAD0"/>
    <w:lvl w:ilvl="0" w:tplc="C7BCEAB4">
      <w:start w:val="1"/>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A08378E"/>
    <w:multiLevelType w:val="hybridMultilevel"/>
    <w:tmpl w:val="EDD230CE"/>
    <w:lvl w:ilvl="0" w:tplc="A0F6A7E8">
      <w:start w:val="1"/>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AEB3F84"/>
    <w:multiLevelType w:val="hybridMultilevel"/>
    <w:tmpl w:val="0CC8A3F6"/>
    <w:lvl w:ilvl="0" w:tplc="1009000F">
      <w:start w:val="1"/>
      <w:numFmt w:val="decimal"/>
      <w:lvlText w:val="%1."/>
      <w:lvlJc w:val="left"/>
      <w:pPr>
        <w:tabs>
          <w:tab w:val="num" w:pos="1440"/>
        </w:tabs>
        <w:ind w:left="1440" w:hanging="720"/>
      </w:pPr>
    </w:lvl>
    <w:lvl w:ilvl="1" w:tplc="1BB41B38">
      <w:start w:val="1"/>
      <w:numFmt w:val="lowerLetter"/>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7A08AA"/>
    <w:multiLevelType w:val="hybridMultilevel"/>
    <w:tmpl w:val="1FD8FA70"/>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5FC97CC7"/>
    <w:multiLevelType w:val="hybridMultilevel"/>
    <w:tmpl w:val="2AF8CF5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AA3705"/>
    <w:multiLevelType w:val="hybridMultilevel"/>
    <w:tmpl w:val="4FA837D6"/>
    <w:lvl w:ilvl="0" w:tplc="9D3A37D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CBD5A95"/>
    <w:multiLevelType w:val="hybridMultilevel"/>
    <w:tmpl w:val="9802232E"/>
    <w:lvl w:ilvl="0" w:tplc="8EC473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78B2117D"/>
    <w:multiLevelType w:val="hybridMultilevel"/>
    <w:tmpl w:val="3808F10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7E1B1DAA"/>
    <w:multiLevelType w:val="hybridMultilevel"/>
    <w:tmpl w:val="80BA06AC"/>
    <w:lvl w:ilvl="0" w:tplc="1514E06A">
      <w:start w:val="3"/>
      <w:numFmt w:val="decimal"/>
      <w:lvlText w:val="%1."/>
      <w:lvlJc w:val="left"/>
      <w:pPr>
        <w:tabs>
          <w:tab w:val="num" w:pos="1440"/>
        </w:tabs>
        <w:ind w:left="144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6"/>
  </w:num>
  <w:num w:numId="5">
    <w:abstractNumId w:val="9"/>
  </w:num>
  <w:num w:numId="6">
    <w:abstractNumId w:val="5"/>
  </w:num>
  <w:num w:numId="7">
    <w:abstractNumId w:val="19"/>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76468"/>
    <w:rsid w:val="001B551C"/>
    <w:rsid w:val="001B7C5D"/>
    <w:rsid w:val="00206276"/>
    <w:rsid w:val="002133B3"/>
    <w:rsid w:val="002222B2"/>
    <w:rsid w:val="002F0E4F"/>
    <w:rsid w:val="00334D69"/>
    <w:rsid w:val="003509C2"/>
    <w:rsid w:val="00354AAD"/>
    <w:rsid w:val="003C04B4"/>
    <w:rsid w:val="003F2400"/>
    <w:rsid w:val="003F381B"/>
    <w:rsid w:val="004033A9"/>
    <w:rsid w:val="0041196E"/>
    <w:rsid w:val="00417503"/>
    <w:rsid w:val="0043766F"/>
    <w:rsid w:val="00490D68"/>
    <w:rsid w:val="004C3B96"/>
    <w:rsid w:val="00534F3A"/>
    <w:rsid w:val="00563F05"/>
    <w:rsid w:val="00570235"/>
    <w:rsid w:val="005A66BD"/>
    <w:rsid w:val="005F3ED5"/>
    <w:rsid w:val="00610BB8"/>
    <w:rsid w:val="00657F28"/>
    <w:rsid w:val="006A7955"/>
    <w:rsid w:val="006F13F4"/>
    <w:rsid w:val="007028C1"/>
    <w:rsid w:val="00795A6E"/>
    <w:rsid w:val="00870279"/>
    <w:rsid w:val="008D484C"/>
    <w:rsid w:val="00921A53"/>
    <w:rsid w:val="00A23E8F"/>
    <w:rsid w:val="00A45027"/>
    <w:rsid w:val="00A47292"/>
    <w:rsid w:val="00A80489"/>
    <w:rsid w:val="00B3057B"/>
    <w:rsid w:val="00B55703"/>
    <w:rsid w:val="00B56820"/>
    <w:rsid w:val="00B97B80"/>
    <w:rsid w:val="00BB3F68"/>
    <w:rsid w:val="00BC7E9B"/>
    <w:rsid w:val="00C13235"/>
    <w:rsid w:val="00C23C41"/>
    <w:rsid w:val="00C8078B"/>
    <w:rsid w:val="00C92D70"/>
    <w:rsid w:val="00CD7388"/>
    <w:rsid w:val="00E00818"/>
    <w:rsid w:val="00E1305C"/>
    <w:rsid w:val="00E43FAF"/>
    <w:rsid w:val="00E80074"/>
    <w:rsid w:val="00E87629"/>
    <w:rsid w:val="00EA00D3"/>
    <w:rsid w:val="00EB460B"/>
    <w:rsid w:val="00EC1B45"/>
    <w:rsid w:val="00EC1D2A"/>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ersonName"/>
  <w:smartTagType w:namespaceuri="urn:schemas:contacts" w:name="Sn"/>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499347800">
      <w:bodyDiv w:val="1"/>
      <w:marLeft w:val="0"/>
      <w:marRight w:val="0"/>
      <w:marTop w:val="0"/>
      <w:marBottom w:val="0"/>
      <w:divBdr>
        <w:top w:val="none" w:sz="0" w:space="0" w:color="auto"/>
        <w:left w:val="none" w:sz="0" w:space="0" w:color="auto"/>
        <w:bottom w:val="none" w:sz="0" w:space="0" w:color="auto"/>
        <w:right w:val="none" w:sz="0" w:space="0" w:color="auto"/>
      </w:divBdr>
    </w:div>
    <w:div w:id="1536429333">
      <w:bodyDiv w:val="1"/>
      <w:marLeft w:val="0"/>
      <w:marRight w:val="0"/>
      <w:marTop w:val="0"/>
      <w:marBottom w:val="0"/>
      <w:divBdr>
        <w:top w:val="none" w:sz="0" w:space="0" w:color="auto"/>
        <w:left w:val="none" w:sz="0" w:space="0" w:color="auto"/>
        <w:bottom w:val="none" w:sz="0" w:space="0" w:color="auto"/>
        <w:right w:val="none" w:sz="0" w:space="0" w:color="auto"/>
      </w:divBdr>
    </w:div>
    <w:div w:id="1755083541">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141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BE959-F39C-4AB2-BB2C-160EA66E659A}"/>
</file>

<file path=customXml/itemProps2.xml><?xml version="1.0" encoding="utf-8"?>
<ds:datastoreItem xmlns:ds="http://schemas.openxmlformats.org/officeDocument/2006/customXml" ds:itemID="{340C4A97-F435-4ACC-8B73-01E0B37544F9}"/>
</file>

<file path=customXml/itemProps3.xml><?xml version="1.0" encoding="utf-8"?>
<ds:datastoreItem xmlns:ds="http://schemas.openxmlformats.org/officeDocument/2006/customXml" ds:itemID="{A666FA3F-0757-4CAD-9B5A-902416A1E8A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10</Pages>
  <Words>2966</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2009-02-17T20:06:00Z</cp:lastPrinted>
  <dcterms:created xsi:type="dcterms:W3CDTF">2009-01-26T17:00:00Z</dcterms:created>
  <dcterms:modified xsi:type="dcterms:W3CDTF">2009-02-17T20:06:00Z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1480800</vt:r8>
  </property>
</Properties>
</file>